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420" w:firstLineChars="200"/>
        <w:rPr>
          <w:rFonts w:ascii="仿宋_GB2312"/>
        </w:rPr>
      </w:pPr>
    </w:p>
    <w:p>
      <w:pPr>
        <w:spacing w:line="640" w:lineRule="exact"/>
        <w:ind w:firstLine="420" w:firstLineChars="200"/>
        <w:rPr>
          <w:rFonts w:ascii="仿宋_GB2312"/>
        </w:rPr>
      </w:pPr>
    </w:p>
    <w:p>
      <w:pPr>
        <w:spacing w:line="640" w:lineRule="exact"/>
        <w:ind w:firstLine="420" w:firstLineChars="200"/>
        <w:rPr>
          <w:rFonts w:ascii="仿宋_GB2312"/>
        </w:rPr>
      </w:pPr>
    </w:p>
    <w:p>
      <w:pPr>
        <w:spacing w:line="640" w:lineRule="exact"/>
        <w:ind w:firstLine="420" w:firstLineChars="200"/>
        <w:rPr>
          <w:rFonts w:ascii="仿宋_GB2312"/>
        </w:rPr>
      </w:pPr>
    </w:p>
    <w:p>
      <w:pPr>
        <w:spacing w:line="640" w:lineRule="exact"/>
        <w:jc w:val="center"/>
        <w:rPr>
          <w:rFonts w:ascii="仿宋_GB2312"/>
        </w:rPr>
      </w:pPr>
    </w:p>
    <w:p>
      <w:pPr>
        <w:spacing w:line="640" w:lineRule="exact"/>
        <w:jc w:val="center"/>
        <w:rPr>
          <w:rFonts w:ascii="仿宋_GB2312"/>
        </w:rPr>
      </w:pPr>
    </w:p>
    <w:p>
      <w:pPr>
        <w:spacing w:line="640" w:lineRule="exact"/>
        <w:jc w:val="center"/>
        <w:rPr>
          <w:rFonts w:ascii="仿宋_GB2312"/>
        </w:rPr>
      </w:pPr>
    </w:p>
    <w:p>
      <w:pPr>
        <w:spacing w:line="560" w:lineRule="exact"/>
        <w:jc w:val="center"/>
        <w:rPr>
          <w:rFonts w:ascii="仿宋" w:hAnsi="仿宋" w:eastAsia="仿宋"/>
          <w:sz w:val="32"/>
          <w:szCs w:val="32"/>
        </w:rPr>
      </w:pPr>
      <w:r>
        <w:rPr>
          <w:rFonts w:hint="eastAsia" w:ascii="仿宋" w:hAnsi="仿宋" w:eastAsia="仿宋"/>
          <w:sz w:val="32"/>
          <w:szCs w:val="32"/>
        </w:rPr>
        <w:t>吴疾控发〔2018〕160号</w:t>
      </w:r>
    </w:p>
    <w:p>
      <w:pPr>
        <w:spacing w:line="560" w:lineRule="exact"/>
      </w:pPr>
    </w:p>
    <w:p>
      <w:pPr>
        <w:spacing w:line="520" w:lineRule="exact"/>
        <w:jc w:val="center"/>
        <w:rPr>
          <w:rFonts w:hint="eastAsia" w:ascii="方正小标宋_GBK" w:hAnsi="黑体" w:eastAsia="方正小标宋_GBK"/>
          <w:sz w:val="44"/>
          <w:szCs w:val="44"/>
        </w:rPr>
      </w:pPr>
      <w:r>
        <w:rPr>
          <w:rFonts w:hint="eastAsia" w:ascii="方正小标宋_GBK" w:eastAsia="方正小标宋_GBK"/>
          <w:sz w:val="44"/>
          <w:szCs w:val="44"/>
        </w:rPr>
        <w:t>关于上报《</w:t>
      </w:r>
      <w:r>
        <w:rPr>
          <w:rFonts w:hint="eastAsia" w:ascii="方正小标宋_GBK" w:hAnsi="黑体" w:eastAsia="方正小标宋_GBK"/>
          <w:sz w:val="44"/>
          <w:szCs w:val="44"/>
        </w:rPr>
        <w:t>吴忠市2018年食品安全风险监测</w:t>
      </w:r>
    </w:p>
    <w:p>
      <w:pPr>
        <w:spacing w:line="520" w:lineRule="exact"/>
        <w:jc w:val="center"/>
        <w:rPr>
          <w:rFonts w:ascii="方正小标宋_GBK" w:hAnsi="黑体" w:eastAsia="方正小标宋_GBK"/>
          <w:sz w:val="44"/>
          <w:szCs w:val="44"/>
        </w:rPr>
      </w:pPr>
      <w:r>
        <w:rPr>
          <w:rFonts w:hint="eastAsia" w:ascii="方正小标宋_GBK" w:hAnsi="黑体" w:eastAsia="方正小标宋_GBK"/>
          <w:sz w:val="44"/>
          <w:szCs w:val="44"/>
        </w:rPr>
        <w:t>工作总结</w:t>
      </w:r>
      <w:r>
        <w:rPr>
          <w:rFonts w:hint="eastAsia" w:ascii="方正小标宋_GBK" w:eastAsia="方正小标宋_GBK"/>
          <w:sz w:val="44"/>
          <w:szCs w:val="44"/>
        </w:rPr>
        <w:t>》的报告</w:t>
      </w:r>
    </w:p>
    <w:p>
      <w:pPr>
        <w:spacing w:line="560" w:lineRule="exact"/>
        <w:jc w:val="center"/>
        <w:rPr>
          <w:rFonts w:ascii="方正小标宋简体" w:eastAsia="方正小标宋简体"/>
          <w:b/>
          <w:sz w:val="44"/>
          <w:szCs w:val="44"/>
        </w:rPr>
      </w:pPr>
    </w:p>
    <w:p>
      <w:pPr>
        <w:spacing w:line="360" w:lineRule="auto"/>
        <w:rPr>
          <w:rFonts w:ascii="仿宋" w:hAnsi="仿宋" w:eastAsia="仿宋"/>
          <w:sz w:val="32"/>
          <w:szCs w:val="32"/>
        </w:rPr>
      </w:pPr>
      <w:r>
        <w:rPr>
          <w:rFonts w:hint="eastAsia" w:ascii="仿宋" w:hAnsi="仿宋" w:eastAsia="仿宋"/>
          <w:sz w:val="32"/>
          <w:szCs w:val="32"/>
        </w:rPr>
        <w:t>市卫生和计划生育局:</w:t>
      </w:r>
    </w:p>
    <w:p>
      <w:pPr>
        <w:ind w:firstLine="640" w:firstLineChars="200"/>
        <w:rPr>
          <w:rFonts w:ascii="仿宋_GB2312" w:hAnsi="宋体" w:eastAsia="仿宋_GB2312"/>
          <w:b/>
          <w:sz w:val="32"/>
          <w:szCs w:val="32"/>
        </w:rPr>
      </w:pPr>
      <w:r>
        <w:rPr>
          <w:rFonts w:ascii="仿宋_GB2312" w:hAnsi="宋体" w:eastAsia="仿宋_GB2312"/>
          <w:sz w:val="32"/>
          <w:szCs w:val="32"/>
        </w:rPr>
        <w:t>201</w:t>
      </w:r>
      <w:r>
        <w:rPr>
          <w:rFonts w:hint="eastAsia" w:ascii="仿宋_GB2312" w:hAnsi="宋体" w:eastAsia="仿宋_GB2312"/>
          <w:sz w:val="32"/>
          <w:szCs w:val="32"/>
        </w:rPr>
        <w:t>8年吴忠市食品安全风险监测工作已完成，现将《</w:t>
      </w:r>
      <w:r>
        <w:rPr>
          <w:rFonts w:ascii="仿宋_GB2312" w:hAnsi="宋体" w:eastAsia="仿宋_GB2312"/>
          <w:sz w:val="32"/>
          <w:szCs w:val="32"/>
        </w:rPr>
        <w:t>201</w:t>
      </w:r>
      <w:r>
        <w:rPr>
          <w:rFonts w:hint="eastAsia" w:ascii="仿宋_GB2312" w:hAnsi="宋体" w:eastAsia="仿宋_GB2312"/>
          <w:sz w:val="32"/>
          <w:szCs w:val="32"/>
        </w:rPr>
        <w:t>8年吴忠市食品安全风险监测工作总结》呈上，请审阅</w:t>
      </w:r>
      <w:r>
        <w:rPr>
          <w:rFonts w:hint="eastAsia" w:ascii="仿宋_GB2312" w:hAnsi="宋体" w:eastAsia="仿宋_GB2312"/>
          <w:b/>
          <w:sz w:val="32"/>
          <w:szCs w:val="32"/>
        </w:rPr>
        <w:t>。</w:t>
      </w:r>
    </w:p>
    <w:p>
      <w:pPr>
        <w:rPr>
          <w:rFonts w:ascii="宋体"/>
          <w:sz w:val="32"/>
          <w:szCs w:val="32"/>
        </w:rPr>
      </w:pPr>
    </w:p>
    <w:p>
      <w:pPr>
        <w:spacing w:line="480" w:lineRule="exact"/>
        <w:ind w:firstLine="640" w:firstLineChars="200"/>
        <w:rPr>
          <w:rFonts w:hint="eastAsia" w:ascii="仿宋_GB2312" w:hAnsi="宋体" w:eastAsia="仿宋_GB2312"/>
          <w:sz w:val="32"/>
          <w:szCs w:val="32"/>
        </w:rPr>
      </w:pPr>
      <w:r>
        <w:rPr>
          <w:rFonts w:hint="eastAsia" w:ascii="仿宋" w:hAnsi="仿宋" w:eastAsia="仿宋"/>
          <w:sz w:val="32"/>
          <w:szCs w:val="32"/>
        </w:rPr>
        <w:t>附件：</w:t>
      </w:r>
      <w:r>
        <w:rPr>
          <w:rFonts w:hint="eastAsia" w:ascii="仿宋_GB2312" w:hAnsi="宋体" w:eastAsia="仿宋_GB2312"/>
          <w:sz w:val="32"/>
          <w:szCs w:val="32"/>
        </w:rPr>
        <w:t>《</w:t>
      </w:r>
      <w:r>
        <w:rPr>
          <w:rFonts w:ascii="仿宋_GB2312" w:hAnsi="宋体" w:eastAsia="仿宋_GB2312"/>
          <w:sz w:val="32"/>
          <w:szCs w:val="32"/>
        </w:rPr>
        <w:t>201</w:t>
      </w:r>
      <w:r>
        <w:rPr>
          <w:rFonts w:hint="eastAsia" w:ascii="仿宋_GB2312" w:hAnsi="宋体" w:eastAsia="仿宋_GB2312"/>
          <w:sz w:val="32"/>
          <w:szCs w:val="32"/>
        </w:rPr>
        <w:t xml:space="preserve">8年吴忠市食品安全风险监测工作总结》   </w:t>
      </w:r>
    </w:p>
    <w:p>
      <w:pPr>
        <w:spacing w:line="480" w:lineRule="exact"/>
        <w:ind w:firstLine="640" w:firstLineChars="200"/>
        <w:rPr>
          <w:rFonts w:hint="eastAsia" w:ascii="仿宋_GB2312" w:hAnsi="宋体" w:eastAsia="仿宋_GB2312"/>
          <w:sz w:val="32"/>
          <w:szCs w:val="32"/>
        </w:rPr>
      </w:pPr>
    </w:p>
    <w:p>
      <w:pPr>
        <w:spacing w:line="48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w:t>
      </w:r>
    </w:p>
    <w:p>
      <w:pPr>
        <w:spacing w:line="480" w:lineRule="exact"/>
        <w:ind w:firstLine="4480" w:firstLineChars="1400"/>
        <w:rPr>
          <w:rFonts w:ascii="仿宋" w:hAnsi="仿宋" w:eastAsia="仿宋"/>
          <w:sz w:val="32"/>
          <w:szCs w:val="32"/>
        </w:rPr>
      </w:pPr>
    </w:p>
    <w:p>
      <w:pPr>
        <w:spacing w:line="480" w:lineRule="exact"/>
        <w:ind w:firstLine="5120" w:firstLineChars="1600"/>
        <w:rPr>
          <w:rFonts w:ascii="仿宋" w:hAnsi="仿宋" w:eastAsia="仿宋"/>
          <w:sz w:val="32"/>
          <w:szCs w:val="32"/>
        </w:rPr>
      </w:pPr>
      <w:r>
        <w:rPr>
          <w:rFonts w:hint="eastAsia" w:ascii="仿宋" w:hAnsi="仿宋" w:eastAsia="仿宋"/>
          <w:sz w:val="32"/>
          <w:szCs w:val="32"/>
        </w:rPr>
        <w:t>吴忠市疾病预防控制中心</w:t>
      </w:r>
    </w:p>
    <w:p>
      <w:pPr>
        <w:tabs>
          <w:tab w:val="left" w:pos="6120"/>
          <w:tab w:val="left" w:pos="6300"/>
        </w:tabs>
        <w:ind w:firstLine="5600" w:firstLineChars="1750"/>
        <w:rPr>
          <w:rFonts w:ascii="仿宋" w:hAnsi="仿宋" w:eastAsia="仿宋" w:cs="仿宋_GB2312"/>
          <w:sz w:val="32"/>
          <w:szCs w:val="32"/>
        </w:rPr>
      </w:pPr>
      <w:r>
        <w:rPr>
          <w:rFonts w:hint="eastAsia" w:ascii="仿宋" w:hAnsi="仿宋" w:eastAsia="仿宋"/>
          <w:sz w:val="32"/>
          <w:szCs w:val="32"/>
        </w:rPr>
        <w:t>2018</w:t>
      </w:r>
      <w:r>
        <w:rPr>
          <w:rFonts w:hint="eastAsia" w:ascii="仿宋" w:hAnsi="仿宋" w:eastAsia="仿宋" w:cs="仿宋_GB2312"/>
          <w:sz w:val="32"/>
          <w:szCs w:val="32"/>
        </w:rPr>
        <w:t>年11月9日</w:t>
      </w:r>
    </w:p>
    <w:p>
      <w:pPr>
        <w:spacing w:line="520" w:lineRule="exact"/>
        <w:jc w:val="center"/>
        <w:rPr>
          <w:rFonts w:ascii="方正小标宋_GBK" w:hAnsi="黑体" w:eastAsia="方正小标宋_GBK"/>
          <w:sz w:val="44"/>
          <w:szCs w:val="44"/>
        </w:rPr>
      </w:pPr>
    </w:p>
    <w:p>
      <w:pPr>
        <w:spacing w:line="520" w:lineRule="exact"/>
        <w:jc w:val="center"/>
        <w:rPr>
          <w:rFonts w:ascii="黑体" w:eastAsia="黑体"/>
          <w:b/>
          <w:sz w:val="36"/>
          <w:szCs w:val="36"/>
        </w:rPr>
      </w:pPr>
    </w:p>
    <w:p>
      <w:pPr>
        <w:spacing w:line="520" w:lineRule="exact"/>
        <w:jc w:val="center"/>
        <w:rPr>
          <w:rFonts w:ascii="黑体" w:eastAsia="黑体"/>
          <w:b/>
          <w:sz w:val="36"/>
          <w:szCs w:val="36"/>
        </w:rPr>
      </w:pPr>
      <w:bookmarkStart w:id="0" w:name="_GoBack"/>
      <w:bookmarkEnd w:id="0"/>
      <w:r>
        <w:rPr>
          <w:rFonts w:ascii="黑体" w:eastAsia="黑体"/>
          <w:b/>
          <w:sz w:val="36"/>
          <w:szCs w:val="36"/>
        </w:rPr>
        <w:t>201</w:t>
      </w:r>
      <w:r>
        <w:rPr>
          <w:rFonts w:hint="eastAsia" w:ascii="黑体" w:eastAsia="黑体"/>
          <w:b/>
          <w:sz w:val="36"/>
          <w:szCs w:val="36"/>
        </w:rPr>
        <w:t>8年吴忠市食品安全风险监测工作总结</w:t>
      </w:r>
    </w:p>
    <w:p>
      <w:pPr>
        <w:spacing w:line="520" w:lineRule="exact"/>
      </w:pPr>
    </w:p>
    <w:p>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根据自治区《关于印发</w:t>
      </w:r>
      <w:r>
        <w:rPr>
          <w:rFonts w:ascii="仿宋_GB2312" w:hAnsi="宋体" w:eastAsia="仿宋_GB2312"/>
          <w:sz w:val="32"/>
          <w:szCs w:val="32"/>
        </w:rPr>
        <w:t>201</w:t>
      </w:r>
      <w:r>
        <w:rPr>
          <w:rFonts w:hint="eastAsia" w:ascii="仿宋_GB2312" w:hAnsi="宋体" w:eastAsia="仿宋_GB2312"/>
          <w:sz w:val="32"/>
          <w:szCs w:val="32"/>
        </w:rPr>
        <w:t>8年宁夏食品安全风险监测方案的通知》（宁卫计发</w:t>
      </w:r>
      <w:r>
        <w:rPr>
          <w:rFonts w:ascii="仿宋_GB2312" w:hAnsi="宋体" w:eastAsia="仿宋_GB2312"/>
          <w:sz w:val="32"/>
          <w:szCs w:val="32"/>
        </w:rPr>
        <w:t>[201</w:t>
      </w:r>
      <w:r>
        <w:rPr>
          <w:rFonts w:hint="eastAsia" w:ascii="仿宋_GB2312" w:hAnsi="宋体" w:eastAsia="仿宋_GB2312"/>
          <w:sz w:val="32"/>
          <w:szCs w:val="32"/>
        </w:rPr>
        <w:t>8</w:t>
      </w:r>
      <w:r>
        <w:rPr>
          <w:rFonts w:ascii="仿宋_GB2312" w:hAnsi="宋体" w:eastAsia="仿宋_GB2312"/>
          <w:sz w:val="32"/>
          <w:szCs w:val="32"/>
        </w:rPr>
        <w:t>]</w:t>
      </w:r>
      <w:r>
        <w:rPr>
          <w:rFonts w:hint="eastAsia" w:ascii="仿宋_GB2312" w:hAnsi="宋体" w:eastAsia="仿宋_GB2312"/>
          <w:sz w:val="32"/>
          <w:szCs w:val="32"/>
        </w:rPr>
        <w:t>5</w:t>
      </w:r>
      <w:r>
        <w:rPr>
          <w:rFonts w:ascii="仿宋_GB2312" w:hAnsi="宋体" w:eastAsia="仿宋_GB2312"/>
          <w:sz w:val="32"/>
          <w:szCs w:val="32"/>
        </w:rPr>
        <w:t>5</w:t>
      </w:r>
      <w:r>
        <w:rPr>
          <w:rFonts w:hint="eastAsia" w:ascii="仿宋_GB2312" w:hAnsi="宋体" w:eastAsia="仿宋_GB2312"/>
          <w:sz w:val="32"/>
          <w:szCs w:val="32"/>
        </w:rPr>
        <w:t>号）内容，结合我市实际，制定下发了《</w:t>
      </w:r>
      <w:r>
        <w:rPr>
          <w:rFonts w:ascii="仿宋_GB2312" w:hAnsi="宋体" w:eastAsia="仿宋_GB2312"/>
          <w:sz w:val="32"/>
          <w:szCs w:val="32"/>
        </w:rPr>
        <w:t>201</w:t>
      </w:r>
      <w:r>
        <w:rPr>
          <w:rFonts w:hint="eastAsia" w:ascii="仿宋_GB2312" w:hAnsi="宋体" w:eastAsia="仿宋_GB2312"/>
          <w:sz w:val="32"/>
          <w:szCs w:val="32"/>
        </w:rPr>
        <w:t>8年吴忠市食品安全风险监测方案》</w:t>
      </w:r>
      <w:r>
        <w:rPr>
          <w:rFonts w:hint="eastAsia" w:ascii="仿宋_GB2312" w:eastAsia="仿宋_GB2312"/>
          <w:sz w:val="32"/>
          <w:szCs w:val="32"/>
        </w:rPr>
        <w:t>文件，市疾控中心按方案内容，开展食品安全风险监测。现将监测工作总结如下：</w:t>
      </w:r>
    </w:p>
    <w:p>
      <w:pPr>
        <w:spacing w:line="560" w:lineRule="exact"/>
        <w:ind w:firstLine="643" w:firstLineChars="200"/>
        <w:rPr>
          <w:rFonts w:ascii="黑体" w:eastAsia="黑体"/>
          <w:b/>
          <w:sz w:val="32"/>
          <w:szCs w:val="32"/>
        </w:rPr>
      </w:pPr>
      <w:r>
        <w:rPr>
          <w:rFonts w:hint="eastAsia" w:ascii="黑体" w:eastAsia="黑体"/>
          <w:b/>
          <w:sz w:val="32"/>
          <w:szCs w:val="32"/>
        </w:rPr>
        <w:t>一、加强组织领导，强化培训督导</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中心领导高度重视，成立了以主管领导任组长的食品安全风险监测工作小组，制定了辖区食品安全风险监测工作方案及计划，明确工作职责，细化工作内容，将工作任务和目标落实到科室，专人负责，确保了全市食品安全风险监测工作有序开展。</w:t>
      </w:r>
    </w:p>
    <w:p>
      <w:pPr>
        <w:spacing w:line="560" w:lineRule="exact"/>
        <w:ind w:firstLine="640"/>
        <w:rPr>
          <w:rFonts w:ascii="仿宋_GB2312" w:hAnsi="宋体" w:eastAsia="仿宋_GB2312"/>
          <w:sz w:val="32"/>
          <w:szCs w:val="32"/>
        </w:rPr>
      </w:pPr>
      <w:r>
        <w:rPr>
          <w:rFonts w:hint="eastAsia" w:ascii="仿宋_GB2312" w:hAnsi="宋体" w:eastAsia="仿宋_GB2312"/>
          <w:sz w:val="32"/>
          <w:szCs w:val="32"/>
        </w:rPr>
        <w:t>（二）、中心组织了相关科室人员参加由自治区举办的食品安全风险监测网络直报技术培训班、</w:t>
      </w:r>
      <w:r>
        <w:rPr>
          <w:rFonts w:hint="eastAsia" w:ascii="仿宋_GB2312" w:hAnsi="仿宋_GB2312" w:eastAsia="仿宋_GB2312" w:cs="仿宋_GB2312"/>
          <w:sz w:val="32"/>
          <w:szCs w:val="32"/>
          <w:shd w:val="clear" w:color="auto" w:fill="FFFFFF"/>
        </w:rPr>
        <w:t>食品安全风险监测培训班、</w:t>
      </w:r>
      <w:r>
        <w:rPr>
          <w:rFonts w:hint="eastAsia" w:ascii="仿宋_GB2312" w:hAnsi="宋体" w:eastAsia="仿宋_GB2312"/>
          <w:sz w:val="32"/>
          <w:szCs w:val="32"/>
        </w:rPr>
        <w:t>食品安全事故流行病学调查技术培训班、食品致病菌监测检验技术培训班、化学污染物监测检验培训班；通过培训，保证食品安全风险监测工作的质量。</w:t>
      </w:r>
    </w:p>
    <w:p>
      <w:pPr>
        <w:spacing w:line="560" w:lineRule="exact"/>
        <w:ind w:firstLine="640"/>
        <w:rPr>
          <w:rFonts w:ascii="仿宋_GB2312" w:hAnsi="宋体" w:eastAsia="仿宋_GB2312"/>
          <w:sz w:val="32"/>
          <w:szCs w:val="32"/>
        </w:rPr>
      </w:pPr>
      <w:r>
        <w:rPr>
          <w:rFonts w:hint="eastAsia" w:ascii="仿宋_GB2312" w:hAnsi="宋体" w:eastAsia="仿宋_GB2312"/>
          <w:sz w:val="32"/>
          <w:szCs w:val="32"/>
        </w:rPr>
        <w:t>（三）、对二级及二级以上医院和新增医疗机构共92家进行培训。并就食源性疾病监测工作进行督导，督促二级及二级以上医院和新增的医疗机构对食源性疾病个案信息采集，便样标本采集并要求及时网报。市级疾控中心审核并及时上报区疾控中心。</w:t>
      </w:r>
    </w:p>
    <w:p>
      <w:pPr>
        <w:spacing w:line="560" w:lineRule="exact"/>
        <w:ind w:firstLine="643" w:firstLineChars="200"/>
        <w:rPr>
          <w:rFonts w:ascii="黑体" w:eastAsia="黑体"/>
          <w:b/>
          <w:sz w:val="32"/>
          <w:szCs w:val="32"/>
        </w:rPr>
      </w:pPr>
      <w:r>
        <w:rPr>
          <w:rFonts w:hint="eastAsia" w:ascii="黑体" w:eastAsia="黑体"/>
          <w:b/>
          <w:sz w:val="32"/>
          <w:szCs w:val="32"/>
        </w:rPr>
        <w:t>二、监测范围及监测方法</w:t>
      </w:r>
    </w:p>
    <w:p>
      <w:pPr>
        <w:spacing w:line="560" w:lineRule="exact"/>
        <w:ind w:firstLine="640" w:firstLineChars="200"/>
        <w:rPr>
          <w:rFonts w:ascii="黑体" w:eastAsia="黑体"/>
          <w:b/>
          <w:sz w:val="32"/>
          <w:szCs w:val="32"/>
        </w:rPr>
      </w:pPr>
      <w:r>
        <w:rPr>
          <w:rFonts w:hint="eastAsia" w:ascii="仿宋_GB2312" w:eastAsia="仿宋_GB2312"/>
          <w:sz w:val="32"/>
          <w:szCs w:val="32"/>
        </w:rPr>
        <w:t>按照《</w:t>
      </w:r>
      <w:r>
        <w:rPr>
          <w:rFonts w:ascii="仿宋_GB2312" w:eastAsia="仿宋_GB2312"/>
          <w:sz w:val="32"/>
          <w:szCs w:val="32"/>
        </w:rPr>
        <w:t>201</w:t>
      </w:r>
      <w:r>
        <w:rPr>
          <w:rFonts w:hint="eastAsia" w:ascii="仿宋_GB2312" w:eastAsia="仿宋_GB2312"/>
          <w:sz w:val="32"/>
          <w:szCs w:val="32"/>
        </w:rPr>
        <w:t>8年吴忠市食品安全风险监测工作方案》样品采集要求，结合本地实际，确定吴忠市各县</w:t>
      </w:r>
      <w:r>
        <w:rPr>
          <w:rFonts w:ascii="仿宋_GB2312" w:eastAsia="仿宋_GB2312"/>
          <w:sz w:val="32"/>
          <w:szCs w:val="32"/>
        </w:rPr>
        <w:t>(</w:t>
      </w:r>
      <w:r>
        <w:rPr>
          <w:rFonts w:hint="eastAsia" w:ascii="仿宋_GB2312" w:eastAsia="仿宋_GB2312"/>
          <w:sz w:val="32"/>
          <w:szCs w:val="32"/>
        </w:rPr>
        <w:t>市、区</w:t>
      </w:r>
      <w:r>
        <w:rPr>
          <w:rFonts w:ascii="仿宋_GB2312" w:eastAsia="仿宋_GB2312"/>
          <w:sz w:val="32"/>
          <w:szCs w:val="32"/>
        </w:rPr>
        <w:t>)</w:t>
      </w:r>
      <w:r>
        <w:rPr>
          <w:rFonts w:hint="eastAsia" w:ascii="仿宋_GB2312" w:eastAsia="仿宋_GB2312"/>
          <w:sz w:val="32"/>
          <w:szCs w:val="32"/>
        </w:rPr>
        <w:t>为采样地点，按照时间进度和采样品种，采集监测样本。食品中化学污染物监测地点为超市、农贸市场、零售店、网点等；食源性致病菌监测样品采集地点以餐饮、超市、农贸市场、食杂零售店、网点、外卖等。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w:t>
      </w:r>
      <w:r>
        <w:rPr>
          <w:rFonts w:ascii="仿宋_GB2312" w:eastAsia="仿宋_GB2312"/>
          <w:sz w:val="32"/>
          <w:szCs w:val="32"/>
        </w:rPr>
        <w:t>201</w:t>
      </w:r>
      <w:r>
        <w:rPr>
          <w:rFonts w:hint="eastAsia" w:ascii="仿宋_GB2312" w:eastAsia="仿宋_GB2312"/>
          <w:sz w:val="32"/>
          <w:szCs w:val="32"/>
        </w:rPr>
        <w:t>8年食品中化学污染物和有害因素监测工作手册》中的监测方法进行监测。即采样人员以消费者身份购买样品，对样品信息进行详细的登记，建立溯源档案，确保相关样品信息的保密性。并将样品分别编号送至中心实验室。</w:t>
      </w:r>
    </w:p>
    <w:p>
      <w:pPr>
        <w:spacing w:line="560" w:lineRule="exact"/>
        <w:ind w:firstLine="643" w:firstLineChars="200"/>
        <w:rPr>
          <w:rFonts w:ascii="黑体" w:eastAsia="黑体"/>
          <w:b/>
          <w:sz w:val="32"/>
          <w:szCs w:val="32"/>
        </w:rPr>
      </w:pPr>
      <w:r>
        <w:rPr>
          <w:rFonts w:hint="eastAsia" w:ascii="黑体" w:eastAsia="黑体"/>
          <w:b/>
          <w:sz w:val="32"/>
          <w:szCs w:val="32"/>
        </w:rPr>
        <w:t>三、监测内容及结果分析</w:t>
      </w:r>
    </w:p>
    <w:p>
      <w:pPr>
        <w:spacing w:line="560" w:lineRule="exact"/>
        <w:ind w:firstLine="643" w:firstLineChars="200"/>
        <w:outlineLvl w:val="0"/>
        <w:rPr>
          <w:rFonts w:ascii="仿宋_GB2312" w:eastAsia="仿宋_GB2312"/>
          <w:b/>
          <w:sz w:val="32"/>
          <w:szCs w:val="32"/>
        </w:rPr>
      </w:pPr>
      <w:r>
        <w:rPr>
          <w:rFonts w:hint="eastAsia" w:ascii="仿宋_GB2312" w:eastAsia="仿宋_GB2312"/>
          <w:b/>
          <w:sz w:val="32"/>
          <w:szCs w:val="32"/>
        </w:rPr>
        <w:t>（一）食品中化学污染物及有害因素监测</w:t>
      </w:r>
    </w:p>
    <w:p>
      <w:pPr>
        <w:spacing w:line="560"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8年我中心计划完成食品中化学污染物及有害因素监测</w:t>
      </w:r>
      <w:r>
        <w:rPr>
          <w:rFonts w:ascii="仿宋_GB2312" w:eastAsia="仿宋_GB2312"/>
          <w:sz w:val="32"/>
          <w:szCs w:val="32"/>
        </w:rPr>
        <w:t>7</w:t>
      </w:r>
      <w:r>
        <w:rPr>
          <w:rFonts w:hint="eastAsia" w:ascii="仿宋_GB2312" w:eastAsia="仿宋_GB2312"/>
          <w:sz w:val="32"/>
          <w:szCs w:val="32"/>
        </w:rPr>
        <w:t>8份，现已完成</w:t>
      </w:r>
      <w:r>
        <w:rPr>
          <w:rFonts w:ascii="仿宋_GB2312" w:eastAsia="仿宋_GB2312"/>
          <w:sz w:val="32"/>
          <w:szCs w:val="32"/>
        </w:rPr>
        <w:t>7</w:t>
      </w:r>
      <w:r>
        <w:rPr>
          <w:rFonts w:hint="eastAsia" w:ascii="仿宋_GB2312" w:eastAsia="仿宋_GB2312"/>
          <w:sz w:val="32"/>
          <w:szCs w:val="32"/>
        </w:rPr>
        <w:t>8份，完成率</w:t>
      </w:r>
      <w:r>
        <w:rPr>
          <w:rFonts w:ascii="仿宋_GB2312" w:eastAsia="仿宋_GB2312"/>
          <w:sz w:val="32"/>
          <w:szCs w:val="32"/>
        </w:rPr>
        <w:t>100.00</w:t>
      </w:r>
      <w:r>
        <w:rPr>
          <w:rFonts w:ascii="仿宋_GB2312" w:hAnsi="仿宋_GB2312" w:eastAsia="仿宋_GB2312"/>
          <w:sz w:val="32"/>
          <w:szCs w:val="32"/>
        </w:rPr>
        <w:t>%</w:t>
      </w:r>
      <w:r>
        <w:rPr>
          <w:rFonts w:hint="eastAsia" w:ascii="仿宋_GB2312" w:eastAsia="仿宋_GB2312"/>
          <w:sz w:val="32"/>
          <w:szCs w:val="32"/>
        </w:rPr>
        <w:t>。及时录入全国食品污染物填报系统。监测食品肉及肉制品（猪肉、牛肉、羊肉，猪肝、牛肝、羊肝），监测项目（克伦特罗、沙丁胺醇、特布他林、莱克多巴胺），其中（猪肉、牛肉、羊肉检测</w:t>
      </w:r>
      <w:r>
        <w:rPr>
          <w:rFonts w:ascii="仿宋_GB2312" w:eastAsia="仿宋_GB2312"/>
          <w:sz w:val="32"/>
          <w:szCs w:val="32"/>
        </w:rPr>
        <w:t>4</w:t>
      </w:r>
      <w:r>
        <w:rPr>
          <w:rFonts w:hint="eastAsia" w:ascii="仿宋_GB2312" w:eastAsia="仿宋_GB2312"/>
          <w:sz w:val="32"/>
          <w:szCs w:val="32"/>
        </w:rPr>
        <w:t>8份，检出率</w:t>
      </w:r>
      <w:r>
        <w:rPr>
          <w:rFonts w:ascii="仿宋_GB2312" w:eastAsia="仿宋_GB2312"/>
          <w:sz w:val="32"/>
          <w:szCs w:val="32"/>
        </w:rPr>
        <w:t>0</w:t>
      </w:r>
      <w:r>
        <w:rPr>
          <w:rFonts w:hint="eastAsia" w:ascii="仿宋_GB2312" w:eastAsia="仿宋_GB2312"/>
          <w:sz w:val="32"/>
          <w:szCs w:val="32"/>
        </w:rPr>
        <w:t>），（猪肝、牛肝、羊肝检测</w:t>
      </w:r>
      <w:r>
        <w:rPr>
          <w:rFonts w:ascii="仿宋_GB2312" w:eastAsia="仿宋_GB2312"/>
          <w:sz w:val="32"/>
          <w:szCs w:val="32"/>
        </w:rPr>
        <w:t>30</w:t>
      </w:r>
      <w:r>
        <w:rPr>
          <w:rFonts w:hint="eastAsia" w:ascii="仿宋_GB2312" w:eastAsia="仿宋_GB2312"/>
          <w:sz w:val="32"/>
          <w:szCs w:val="32"/>
        </w:rPr>
        <w:t>份，检出率0），</w:t>
      </w:r>
      <w:r>
        <w:rPr>
          <w:rFonts w:ascii="仿宋_GB2312" w:hAnsi="仿宋" w:eastAsia="仿宋_GB2312"/>
          <w:sz w:val="32"/>
          <w:szCs w:val="32"/>
        </w:rPr>
        <w:t>7</w:t>
      </w:r>
      <w:r>
        <w:rPr>
          <w:rFonts w:hint="eastAsia" w:ascii="仿宋_GB2312" w:hAnsi="仿宋" w:eastAsia="仿宋_GB2312"/>
          <w:sz w:val="32"/>
          <w:szCs w:val="32"/>
        </w:rPr>
        <w:t>8份肉与肉制品均未检出</w:t>
      </w:r>
      <w:r>
        <w:rPr>
          <w:rFonts w:hint="eastAsia" w:ascii="仿宋_GB2312" w:eastAsia="仿宋_GB2312"/>
          <w:sz w:val="32"/>
          <w:szCs w:val="32"/>
        </w:rPr>
        <w:t>。</w:t>
      </w:r>
    </w:p>
    <w:p>
      <w:pPr>
        <w:ind w:firstLine="2100" w:firstLineChars="1000"/>
        <w:rPr>
          <w:rFonts w:ascii="黑体" w:hAnsi="黑体" w:eastAsia="黑体"/>
          <w:szCs w:val="21"/>
        </w:rPr>
      </w:pPr>
      <w:r>
        <w:rPr>
          <w:rFonts w:ascii="黑体" w:hAnsi="黑体" w:eastAsia="黑体"/>
          <w:szCs w:val="21"/>
        </w:rPr>
        <w:t>表</w:t>
      </w:r>
      <w:r>
        <w:rPr>
          <w:rFonts w:hint="eastAsia" w:ascii="黑体" w:hAnsi="黑体" w:eastAsia="黑体"/>
          <w:szCs w:val="21"/>
        </w:rPr>
        <w:t xml:space="preserve">1   </w:t>
      </w:r>
      <w:r>
        <w:rPr>
          <w:rFonts w:ascii="黑体" w:hAnsi="黑体" w:eastAsia="黑体"/>
          <w:szCs w:val="21"/>
        </w:rPr>
        <w:t>肉与肉制品</w:t>
      </w:r>
      <w:r>
        <w:rPr>
          <w:rFonts w:hint="eastAsia" w:ascii="黑体" w:hAnsi="黑体" w:eastAsia="黑体"/>
          <w:szCs w:val="21"/>
        </w:rPr>
        <w:t>（猪肉、牛肉、羊肉）</w:t>
      </w:r>
      <w:r>
        <w:rPr>
          <w:rFonts w:ascii="黑体" w:hAnsi="黑体" w:eastAsia="黑体"/>
          <w:szCs w:val="21"/>
        </w:rPr>
        <w:t>检出情况表</w:t>
      </w:r>
    </w:p>
    <w:tbl>
      <w:tblPr>
        <w:tblStyle w:val="5"/>
        <w:tblW w:w="9962" w:type="dxa"/>
        <w:tblInd w:w="0" w:type="dxa"/>
        <w:tblLayout w:type="fixed"/>
        <w:tblCellMar>
          <w:top w:w="0" w:type="dxa"/>
          <w:left w:w="108" w:type="dxa"/>
          <w:bottom w:w="0" w:type="dxa"/>
          <w:right w:w="108" w:type="dxa"/>
        </w:tblCellMar>
      </w:tblPr>
      <w:tblGrid>
        <w:gridCol w:w="1976"/>
        <w:gridCol w:w="3152"/>
        <w:gridCol w:w="2403"/>
        <w:gridCol w:w="2431"/>
      </w:tblGrid>
      <w:tr>
        <w:tblPrEx>
          <w:tblLayout w:type="fixed"/>
          <w:tblCellMar>
            <w:top w:w="0" w:type="dxa"/>
            <w:left w:w="108" w:type="dxa"/>
            <w:bottom w:w="0" w:type="dxa"/>
            <w:right w:w="108" w:type="dxa"/>
          </w:tblCellMar>
        </w:tblPrEx>
        <w:trPr>
          <w:trHeight w:val="300" w:hRule="atLeast"/>
        </w:trPr>
        <w:tc>
          <w:tcPr>
            <w:tcW w:w="1976" w:type="dxa"/>
            <w:tcBorders>
              <w:top w:val="single" w:color="000000" w:sz="8" w:space="0"/>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监测项目</w:t>
            </w:r>
          </w:p>
        </w:tc>
        <w:tc>
          <w:tcPr>
            <w:tcW w:w="3152" w:type="dxa"/>
            <w:tcBorders>
              <w:top w:val="single" w:color="000000" w:sz="8" w:space="0"/>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检验份数（份）</w:t>
            </w:r>
          </w:p>
        </w:tc>
        <w:tc>
          <w:tcPr>
            <w:tcW w:w="2403" w:type="dxa"/>
            <w:tcBorders>
              <w:top w:val="single" w:color="000000" w:sz="8" w:space="0"/>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完成率（%）</w:t>
            </w:r>
          </w:p>
        </w:tc>
        <w:tc>
          <w:tcPr>
            <w:tcW w:w="2431" w:type="dxa"/>
            <w:tcBorders>
              <w:top w:val="single" w:color="000000" w:sz="8" w:space="0"/>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检出率（%）</w:t>
            </w:r>
          </w:p>
        </w:tc>
      </w:tr>
      <w:tr>
        <w:tblPrEx>
          <w:tblLayout w:type="fixed"/>
          <w:tblCellMar>
            <w:top w:w="0" w:type="dxa"/>
            <w:left w:w="108" w:type="dxa"/>
            <w:bottom w:w="0" w:type="dxa"/>
            <w:right w:w="108" w:type="dxa"/>
          </w:tblCellMar>
        </w:tblPrEx>
        <w:trPr>
          <w:trHeight w:val="285" w:hRule="atLeast"/>
        </w:trPr>
        <w:tc>
          <w:tcPr>
            <w:tcW w:w="1976" w:type="dxa"/>
            <w:tcBorders>
              <w:top w:val="nil"/>
              <w:left w:val="nil"/>
              <w:bottom w:val="nil"/>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克伦特罗</w:t>
            </w:r>
          </w:p>
        </w:tc>
        <w:tc>
          <w:tcPr>
            <w:tcW w:w="3152"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48</w:t>
            </w:r>
          </w:p>
        </w:tc>
        <w:tc>
          <w:tcPr>
            <w:tcW w:w="2403"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100</w:t>
            </w:r>
          </w:p>
        </w:tc>
        <w:tc>
          <w:tcPr>
            <w:tcW w:w="2431"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0</w:t>
            </w:r>
          </w:p>
        </w:tc>
      </w:tr>
      <w:tr>
        <w:tblPrEx>
          <w:tblLayout w:type="fixed"/>
          <w:tblCellMar>
            <w:top w:w="0" w:type="dxa"/>
            <w:left w:w="108" w:type="dxa"/>
            <w:bottom w:w="0" w:type="dxa"/>
            <w:right w:w="108" w:type="dxa"/>
          </w:tblCellMar>
        </w:tblPrEx>
        <w:trPr>
          <w:trHeight w:val="285" w:hRule="atLeast"/>
        </w:trPr>
        <w:tc>
          <w:tcPr>
            <w:tcW w:w="1976" w:type="dxa"/>
            <w:tcBorders>
              <w:top w:val="nil"/>
              <w:left w:val="nil"/>
              <w:bottom w:val="nil"/>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沙丁胺醇</w:t>
            </w:r>
          </w:p>
        </w:tc>
        <w:tc>
          <w:tcPr>
            <w:tcW w:w="3152"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48</w:t>
            </w:r>
          </w:p>
        </w:tc>
        <w:tc>
          <w:tcPr>
            <w:tcW w:w="2403"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100</w:t>
            </w:r>
          </w:p>
        </w:tc>
        <w:tc>
          <w:tcPr>
            <w:tcW w:w="2431"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0</w:t>
            </w:r>
          </w:p>
        </w:tc>
      </w:tr>
      <w:tr>
        <w:tblPrEx>
          <w:tblLayout w:type="fixed"/>
          <w:tblCellMar>
            <w:top w:w="0" w:type="dxa"/>
            <w:left w:w="108" w:type="dxa"/>
            <w:bottom w:w="0" w:type="dxa"/>
            <w:right w:w="108" w:type="dxa"/>
          </w:tblCellMar>
        </w:tblPrEx>
        <w:trPr>
          <w:trHeight w:val="285" w:hRule="atLeast"/>
        </w:trPr>
        <w:tc>
          <w:tcPr>
            <w:tcW w:w="1976" w:type="dxa"/>
            <w:tcBorders>
              <w:top w:val="nil"/>
              <w:left w:val="nil"/>
              <w:bottom w:val="nil"/>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特布他林</w:t>
            </w:r>
          </w:p>
        </w:tc>
        <w:tc>
          <w:tcPr>
            <w:tcW w:w="3152"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48</w:t>
            </w:r>
          </w:p>
        </w:tc>
        <w:tc>
          <w:tcPr>
            <w:tcW w:w="2403"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100</w:t>
            </w:r>
          </w:p>
        </w:tc>
        <w:tc>
          <w:tcPr>
            <w:tcW w:w="2431"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0</w:t>
            </w:r>
          </w:p>
        </w:tc>
      </w:tr>
      <w:tr>
        <w:tblPrEx>
          <w:tblLayout w:type="fixed"/>
          <w:tblCellMar>
            <w:top w:w="0" w:type="dxa"/>
            <w:left w:w="108" w:type="dxa"/>
            <w:bottom w:w="0" w:type="dxa"/>
            <w:right w:w="108" w:type="dxa"/>
          </w:tblCellMar>
        </w:tblPrEx>
        <w:trPr>
          <w:trHeight w:val="300" w:hRule="atLeast"/>
        </w:trPr>
        <w:tc>
          <w:tcPr>
            <w:tcW w:w="1976" w:type="dxa"/>
            <w:tcBorders>
              <w:top w:val="nil"/>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莱克多巴胺</w:t>
            </w:r>
          </w:p>
        </w:tc>
        <w:tc>
          <w:tcPr>
            <w:tcW w:w="3152" w:type="dxa"/>
            <w:tcBorders>
              <w:top w:val="nil"/>
              <w:left w:val="nil"/>
              <w:bottom w:val="single" w:color="000000" w:sz="8" w:space="0"/>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48</w:t>
            </w:r>
          </w:p>
        </w:tc>
        <w:tc>
          <w:tcPr>
            <w:tcW w:w="2403" w:type="dxa"/>
            <w:tcBorders>
              <w:top w:val="nil"/>
              <w:left w:val="nil"/>
              <w:bottom w:val="single" w:color="000000" w:sz="8" w:space="0"/>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100</w:t>
            </w:r>
          </w:p>
        </w:tc>
        <w:tc>
          <w:tcPr>
            <w:tcW w:w="2431" w:type="dxa"/>
            <w:tcBorders>
              <w:top w:val="nil"/>
              <w:left w:val="nil"/>
              <w:bottom w:val="single" w:color="000000" w:sz="8" w:space="0"/>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0</w:t>
            </w:r>
          </w:p>
        </w:tc>
      </w:tr>
    </w:tbl>
    <w:p>
      <w:pPr>
        <w:ind w:firstLine="1890" w:firstLineChars="900"/>
        <w:rPr>
          <w:rFonts w:ascii="黑体" w:hAnsi="黑体" w:eastAsia="黑体"/>
          <w:szCs w:val="21"/>
        </w:rPr>
      </w:pPr>
      <w:r>
        <w:rPr>
          <w:rFonts w:ascii="黑体" w:hAnsi="黑体" w:eastAsia="黑体"/>
          <w:szCs w:val="21"/>
        </w:rPr>
        <w:t>表</w:t>
      </w:r>
      <w:r>
        <w:rPr>
          <w:rFonts w:hint="eastAsia" w:ascii="黑体" w:hAnsi="黑体" w:eastAsia="黑体"/>
          <w:szCs w:val="21"/>
        </w:rPr>
        <w:t xml:space="preserve">2   </w:t>
      </w:r>
      <w:r>
        <w:rPr>
          <w:rFonts w:ascii="黑体" w:hAnsi="黑体" w:eastAsia="黑体"/>
          <w:szCs w:val="21"/>
        </w:rPr>
        <w:t>肉与肉制品</w:t>
      </w:r>
      <w:r>
        <w:rPr>
          <w:rFonts w:hint="eastAsia" w:ascii="黑体" w:hAnsi="黑体" w:eastAsia="黑体"/>
          <w:szCs w:val="21"/>
        </w:rPr>
        <w:t>（猪肝、牛肝、羊肝）</w:t>
      </w:r>
      <w:r>
        <w:rPr>
          <w:rFonts w:ascii="黑体" w:hAnsi="黑体" w:eastAsia="黑体"/>
          <w:szCs w:val="21"/>
        </w:rPr>
        <w:t>检出情况表</w:t>
      </w:r>
    </w:p>
    <w:tbl>
      <w:tblPr>
        <w:tblStyle w:val="5"/>
        <w:tblW w:w="9962" w:type="dxa"/>
        <w:tblInd w:w="0" w:type="dxa"/>
        <w:tblLayout w:type="fixed"/>
        <w:tblCellMar>
          <w:top w:w="0" w:type="dxa"/>
          <w:left w:w="108" w:type="dxa"/>
          <w:bottom w:w="0" w:type="dxa"/>
          <w:right w:w="108" w:type="dxa"/>
        </w:tblCellMar>
      </w:tblPr>
      <w:tblGrid>
        <w:gridCol w:w="1976"/>
        <w:gridCol w:w="3152"/>
        <w:gridCol w:w="2403"/>
        <w:gridCol w:w="2431"/>
      </w:tblGrid>
      <w:tr>
        <w:tblPrEx>
          <w:tblLayout w:type="fixed"/>
          <w:tblCellMar>
            <w:top w:w="0" w:type="dxa"/>
            <w:left w:w="108" w:type="dxa"/>
            <w:bottom w:w="0" w:type="dxa"/>
            <w:right w:w="108" w:type="dxa"/>
          </w:tblCellMar>
        </w:tblPrEx>
        <w:trPr>
          <w:trHeight w:val="300" w:hRule="atLeast"/>
        </w:trPr>
        <w:tc>
          <w:tcPr>
            <w:tcW w:w="1976" w:type="dxa"/>
            <w:tcBorders>
              <w:top w:val="single" w:color="000000" w:sz="8" w:space="0"/>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监测项目</w:t>
            </w:r>
          </w:p>
        </w:tc>
        <w:tc>
          <w:tcPr>
            <w:tcW w:w="3152" w:type="dxa"/>
            <w:tcBorders>
              <w:top w:val="single" w:color="000000" w:sz="8" w:space="0"/>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检验份数（份）</w:t>
            </w:r>
          </w:p>
        </w:tc>
        <w:tc>
          <w:tcPr>
            <w:tcW w:w="2403" w:type="dxa"/>
            <w:tcBorders>
              <w:top w:val="single" w:color="000000" w:sz="8" w:space="0"/>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完成率（%）</w:t>
            </w:r>
          </w:p>
        </w:tc>
        <w:tc>
          <w:tcPr>
            <w:tcW w:w="2431" w:type="dxa"/>
            <w:tcBorders>
              <w:top w:val="single" w:color="000000" w:sz="8" w:space="0"/>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检出率（%）</w:t>
            </w:r>
          </w:p>
        </w:tc>
      </w:tr>
      <w:tr>
        <w:tblPrEx>
          <w:tblLayout w:type="fixed"/>
          <w:tblCellMar>
            <w:top w:w="0" w:type="dxa"/>
            <w:left w:w="108" w:type="dxa"/>
            <w:bottom w:w="0" w:type="dxa"/>
            <w:right w:w="108" w:type="dxa"/>
          </w:tblCellMar>
        </w:tblPrEx>
        <w:trPr>
          <w:trHeight w:val="285" w:hRule="atLeast"/>
        </w:trPr>
        <w:tc>
          <w:tcPr>
            <w:tcW w:w="1976" w:type="dxa"/>
            <w:tcBorders>
              <w:top w:val="nil"/>
              <w:left w:val="nil"/>
              <w:bottom w:val="nil"/>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克伦特罗</w:t>
            </w:r>
          </w:p>
        </w:tc>
        <w:tc>
          <w:tcPr>
            <w:tcW w:w="3152"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30</w:t>
            </w:r>
          </w:p>
        </w:tc>
        <w:tc>
          <w:tcPr>
            <w:tcW w:w="2403"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100</w:t>
            </w:r>
          </w:p>
        </w:tc>
        <w:tc>
          <w:tcPr>
            <w:tcW w:w="2431"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0</w:t>
            </w:r>
          </w:p>
        </w:tc>
      </w:tr>
      <w:tr>
        <w:tblPrEx>
          <w:tblLayout w:type="fixed"/>
          <w:tblCellMar>
            <w:top w:w="0" w:type="dxa"/>
            <w:left w:w="108" w:type="dxa"/>
            <w:bottom w:w="0" w:type="dxa"/>
            <w:right w:w="108" w:type="dxa"/>
          </w:tblCellMar>
        </w:tblPrEx>
        <w:trPr>
          <w:trHeight w:val="285" w:hRule="atLeast"/>
        </w:trPr>
        <w:tc>
          <w:tcPr>
            <w:tcW w:w="1976" w:type="dxa"/>
            <w:tcBorders>
              <w:top w:val="nil"/>
              <w:left w:val="nil"/>
              <w:bottom w:val="nil"/>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沙丁胺醇</w:t>
            </w:r>
          </w:p>
        </w:tc>
        <w:tc>
          <w:tcPr>
            <w:tcW w:w="3152"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30</w:t>
            </w:r>
          </w:p>
        </w:tc>
        <w:tc>
          <w:tcPr>
            <w:tcW w:w="2403"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100</w:t>
            </w:r>
          </w:p>
        </w:tc>
        <w:tc>
          <w:tcPr>
            <w:tcW w:w="2431"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0</w:t>
            </w:r>
          </w:p>
        </w:tc>
      </w:tr>
      <w:tr>
        <w:tblPrEx>
          <w:tblLayout w:type="fixed"/>
          <w:tblCellMar>
            <w:top w:w="0" w:type="dxa"/>
            <w:left w:w="108" w:type="dxa"/>
            <w:bottom w:w="0" w:type="dxa"/>
            <w:right w:w="108" w:type="dxa"/>
          </w:tblCellMar>
        </w:tblPrEx>
        <w:trPr>
          <w:trHeight w:val="285" w:hRule="atLeast"/>
        </w:trPr>
        <w:tc>
          <w:tcPr>
            <w:tcW w:w="1976" w:type="dxa"/>
            <w:tcBorders>
              <w:top w:val="nil"/>
              <w:left w:val="nil"/>
              <w:bottom w:val="nil"/>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特布他林</w:t>
            </w:r>
          </w:p>
        </w:tc>
        <w:tc>
          <w:tcPr>
            <w:tcW w:w="3152"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30</w:t>
            </w:r>
          </w:p>
        </w:tc>
        <w:tc>
          <w:tcPr>
            <w:tcW w:w="2403"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100</w:t>
            </w:r>
          </w:p>
        </w:tc>
        <w:tc>
          <w:tcPr>
            <w:tcW w:w="2431" w:type="dxa"/>
            <w:tcBorders>
              <w:top w:val="nil"/>
              <w:left w:val="nil"/>
              <w:bottom w:val="nil"/>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0</w:t>
            </w:r>
          </w:p>
        </w:tc>
      </w:tr>
      <w:tr>
        <w:tblPrEx>
          <w:tblLayout w:type="fixed"/>
          <w:tblCellMar>
            <w:top w:w="0" w:type="dxa"/>
            <w:left w:w="108" w:type="dxa"/>
            <w:bottom w:w="0" w:type="dxa"/>
            <w:right w:w="108" w:type="dxa"/>
          </w:tblCellMar>
        </w:tblPrEx>
        <w:trPr>
          <w:trHeight w:val="300" w:hRule="atLeast"/>
        </w:trPr>
        <w:tc>
          <w:tcPr>
            <w:tcW w:w="1976" w:type="dxa"/>
            <w:tcBorders>
              <w:top w:val="nil"/>
              <w:left w:val="nil"/>
              <w:bottom w:val="single" w:color="000000" w:sz="8" w:space="0"/>
              <w:right w:val="nil"/>
            </w:tcBorders>
            <w:shd w:val="clear" w:color="auto" w:fill="auto"/>
          </w:tcPr>
          <w:p>
            <w:pPr>
              <w:widowControl/>
              <w:jc w:val="center"/>
              <w:rPr>
                <w:rFonts w:ascii="仿宋" w:hAnsi="仿宋" w:eastAsia="仿宋" w:cs="宋体"/>
                <w:bCs/>
                <w:color w:val="000000" w:themeColor="text1"/>
                <w:kern w:val="0"/>
                <w:sz w:val="24"/>
              </w:rPr>
            </w:pPr>
            <w:r>
              <w:rPr>
                <w:rFonts w:hint="eastAsia" w:ascii="仿宋" w:hAnsi="仿宋" w:eastAsia="仿宋" w:cs="宋体"/>
                <w:bCs/>
                <w:color w:val="000000" w:themeColor="text1"/>
                <w:kern w:val="0"/>
                <w:sz w:val="24"/>
              </w:rPr>
              <w:t>莱克多巴胺</w:t>
            </w:r>
          </w:p>
        </w:tc>
        <w:tc>
          <w:tcPr>
            <w:tcW w:w="3152" w:type="dxa"/>
            <w:tcBorders>
              <w:top w:val="nil"/>
              <w:left w:val="nil"/>
              <w:bottom w:val="single" w:color="000000" w:sz="8" w:space="0"/>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30</w:t>
            </w:r>
          </w:p>
        </w:tc>
        <w:tc>
          <w:tcPr>
            <w:tcW w:w="2403" w:type="dxa"/>
            <w:tcBorders>
              <w:top w:val="nil"/>
              <w:left w:val="nil"/>
              <w:bottom w:val="single" w:color="000000" w:sz="8" w:space="0"/>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100</w:t>
            </w:r>
          </w:p>
        </w:tc>
        <w:tc>
          <w:tcPr>
            <w:tcW w:w="2431" w:type="dxa"/>
            <w:tcBorders>
              <w:top w:val="nil"/>
              <w:left w:val="nil"/>
              <w:bottom w:val="single" w:color="000000" w:sz="8" w:space="0"/>
              <w:right w:val="nil"/>
            </w:tcBorders>
            <w:shd w:val="clear" w:color="auto" w:fill="auto"/>
          </w:tcPr>
          <w:p>
            <w:pPr>
              <w:widowControl/>
              <w:jc w:val="center"/>
              <w:rPr>
                <w:rFonts w:ascii="仿宋" w:hAnsi="仿宋" w:eastAsia="仿宋" w:cs="宋体"/>
                <w:color w:val="000000" w:themeColor="text1"/>
                <w:kern w:val="0"/>
                <w:sz w:val="24"/>
              </w:rPr>
            </w:pPr>
            <w:r>
              <w:rPr>
                <w:rFonts w:hint="eastAsia" w:ascii="仿宋" w:hAnsi="仿宋" w:eastAsia="仿宋" w:cs="宋体"/>
                <w:color w:val="000000" w:themeColor="text1"/>
                <w:kern w:val="0"/>
                <w:sz w:val="24"/>
              </w:rPr>
              <w:t>0</w:t>
            </w:r>
          </w:p>
        </w:tc>
      </w:tr>
    </w:tbl>
    <w:p>
      <w:pPr>
        <w:spacing w:line="540" w:lineRule="exact"/>
        <w:ind w:firstLine="643" w:firstLineChars="200"/>
        <w:rPr>
          <w:rFonts w:ascii="仿宋_GB2312" w:eastAsia="仿宋_GB2312"/>
          <w:b/>
          <w:sz w:val="32"/>
          <w:szCs w:val="32"/>
        </w:rPr>
      </w:pPr>
      <w:r>
        <w:rPr>
          <w:rFonts w:hint="eastAsia" w:ascii="仿宋_GB2312" w:eastAsia="仿宋_GB2312"/>
          <w:b/>
          <w:sz w:val="32"/>
          <w:szCs w:val="32"/>
        </w:rPr>
        <w:t>（二）食源性致病菌监测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全年计划监测食源性致病菌监测样本189份，现已完成189份，上报数据189份。完成率</w:t>
      </w:r>
      <w:r>
        <w:rPr>
          <w:rFonts w:ascii="仿宋_GB2312" w:eastAsia="仿宋_GB2312"/>
          <w:sz w:val="32"/>
          <w:szCs w:val="32"/>
        </w:rPr>
        <w:t>100.00</w:t>
      </w:r>
      <w:r>
        <w:rPr>
          <w:rFonts w:ascii="仿宋_GB2312" w:hAnsi="仿宋_GB2312" w:eastAsia="仿宋_GB2312"/>
          <w:sz w:val="32"/>
          <w:szCs w:val="32"/>
        </w:rPr>
        <w:t>%</w:t>
      </w:r>
      <w:r>
        <w:rPr>
          <w:rFonts w:hint="eastAsia" w:ascii="仿宋_GB2312" w:hAnsi="仿宋_GB2312" w:eastAsia="仿宋_GB2312"/>
          <w:sz w:val="32"/>
          <w:szCs w:val="32"/>
        </w:rPr>
        <w:t>。</w:t>
      </w:r>
      <w:r>
        <w:rPr>
          <w:rFonts w:hint="eastAsia" w:ascii="仿宋_GB2312" w:eastAsia="仿宋_GB2312"/>
          <w:sz w:val="32"/>
          <w:szCs w:val="32"/>
        </w:rPr>
        <w:t>微生物及其致病因子常规监测10个类别（特殊膳食食用品、肉与肉制品、水产及其制品、蛋与蛋制品、焙烤及油炸类食品、冷冻饮品、坚果与籽类及其加工制品类、调味品、餐饮食品、地方特色食品），共检出13例致病菌，检出率6.88</w:t>
      </w:r>
      <w:r>
        <w:rPr>
          <w:rFonts w:ascii="仿宋_GB2312" w:eastAsia="仿宋_GB2312"/>
          <w:sz w:val="32"/>
          <w:szCs w:val="32"/>
        </w:rPr>
        <w:t>%</w:t>
      </w:r>
      <w:r>
        <w:rPr>
          <w:rFonts w:hint="eastAsia" w:ascii="仿宋_GB2312" w:eastAsia="仿宋_GB2312"/>
          <w:sz w:val="32"/>
          <w:szCs w:val="32"/>
        </w:rPr>
        <w:t>。其中特殊膳食食用品采集32份样品，检出2例蜡样芽胞杆菌和1例阪崎肠杆菌、水产及其制品采集16份样品，检出3例副溶血性弧菌、蛋与蛋制品采集16份样品，在蛋壳检出1例沙门氏菌、焙烤及油炸类食品采集16份样品，检出2例沙门氏菌、餐饮食品采集19份样品，检出2例蜡样芽胞杆菌，1例致泻大肠埃希氏菌、地方食品（凉皮）检出</w:t>
      </w:r>
      <w:r>
        <w:rPr>
          <w:rFonts w:ascii="仿宋_GB2312" w:eastAsia="仿宋_GB2312"/>
          <w:sz w:val="32"/>
          <w:szCs w:val="32"/>
        </w:rPr>
        <w:t>1</w:t>
      </w:r>
      <w:r>
        <w:rPr>
          <w:rFonts w:hint="eastAsia" w:ascii="仿宋_GB2312" w:eastAsia="仿宋_GB2312"/>
          <w:sz w:val="32"/>
          <w:szCs w:val="32"/>
        </w:rPr>
        <w:t>例金黄色葡萄球菌。</w:t>
      </w:r>
    </w:p>
    <w:p>
      <w:pPr>
        <w:spacing w:line="540" w:lineRule="exact"/>
        <w:ind w:firstLine="3360" w:firstLineChars="1400"/>
        <w:rPr>
          <w:rFonts w:ascii="黑体" w:hAnsi="黑体" w:eastAsia="黑体"/>
          <w:sz w:val="24"/>
        </w:rPr>
      </w:pPr>
      <w:r>
        <w:rPr>
          <w:rFonts w:hint="eastAsia" w:ascii="黑体" w:hAnsi="黑体" w:eastAsia="黑体"/>
          <w:sz w:val="24"/>
        </w:rPr>
        <w:t>表3  食源性致病菌监测结果</w:t>
      </w:r>
    </w:p>
    <w:tbl>
      <w:tblPr>
        <w:tblStyle w:val="5"/>
        <w:tblW w:w="9962" w:type="dxa"/>
        <w:tblInd w:w="0" w:type="dxa"/>
        <w:tblLayout w:type="fixed"/>
        <w:tblCellMar>
          <w:top w:w="0" w:type="dxa"/>
          <w:left w:w="108" w:type="dxa"/>
          <w:bottom w:w="0" w:type="dxa"/>
          <w:right w:w="108" w:type="dxa"/>
        </w:tblCellMar>
      </w:tblPr>
      <w:tblGrid>
        <w:gridCol w:w="1496"/>
        <w:gridCol w:w="2196"/>
        <w:gridCol w:w="1079"/>
        <w:gridCol w:w="2298"/>
        <w:gridCol w:w="1432"/>
        <w:gridCol w:w="1461"/>
      </w:tblGrid>
      <w:tr>
        <w:tblPrEx>
          <w:tblLayout w:type="fixed"/>
          <w:tblCellMar>
            <w:top w:w="0" w:type="dxa"/>
            <w:left w:w="108" w:type="dxa"/>
            <w:bottom w:w="0" w:type="dxa"/>
            <w:right w:w="108" w:type="dxa"/>
          </w:tblCellMar>
        </w:tblPrEx>
        <w:trPr>
          <w:trHeight w:val="975" w:hRule="atLeast"/>
        </w:trPr>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食品类别</w:t>
            </w:r>
          </w:p>
        </w:tc>
        <w:tc>
          <w:tcPr>
            <w:tcW w:w="219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食品品种</w:t>
            </w:r>
          </w:p>
        </w:tc>
        <w:tc>
          <w:tcPr>
            <w:tcW w:w="107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采样份数（份）</w:t>
            </w:r>
          </w:p>
        </w:tc>
        <w:tc>
          <w:tcPr>
            <w:tcW w:w="22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检出份数（份）</w:t>
            </w:r>
          </w:p>
        </w:tc>
        <w:tc>
          <w:tcPr>
            <w:tcW w:w="143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完成率（%）</w:t>
            </w:r>
          </w:p>
        </w:tc>
        <w:tc>
          <w:tcPr>
            <w:tcW w:w="146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检出率（%）</w:t>
            </w:r>
          </w:p>
        </w:tc>
      </w:tr>
      <w:tr>
        <w:tblPrEx>
          <w:tblLayout w:type="fixed"/>
          <w:tblCellMar>
            <w:top w:w="0" w:type="dxa"/>
            <w:left w:w="108" w:type="dxa"/>
            <w:bottom w:w="0" w:type="dxa"/>
            <w:right w:w="108" w:type="dxa"/>
          </w:tblCellMar>
        </w:tblPrEx>
        <w:trPr>
          <w:trHeight w:val="1035" w:hRule="atLeast"/>
        </w:trPr>
        <w:tc>
          <w:tcPr>
            <w:tcW w:w="14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特殊膳食用食品</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婴幼儿配方食品</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2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1（蜡样芽胞杆菌）</w:t>
            </w:r>
          </w:p>
        </w:tc>
        <w:tc>
          <w:tcPr>
            <w:tcW w:w="14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6.25</w:t>
            </w:r>
          </w:p>
        </w:tc>
      </w:tr>
      <w:tr>
        <w:tblPrEx>
          <w:tblLayout w:type="fixed"/>
          <w:tblCellMar>
            <w:top w:w="0" w:type="dxa"/>
            <w:left w:w="108" w:type="dxa"/>
            <w:bottom w:w="0" w:type="dxa"/>
            <w:right w:w="108" w:type="dxa"/>
          </w:tblCellMar>
        </w:tblPrEx>
        <w:trPr>
          <w:trHeight w:val="945" w:hRule="atLeast"/>
        </w:trPr>
        <w:tc>
          <w:tcPr>
            <w:tcW w:w="1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婴幼儿谷类辅助食品</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2（阪崎肠杆、蜡样芽胞杆菌）</w:t>
            </w:r>
          </w:p>
        </w:tc>
        <w:tc>
          <w:tcPr>
            <w:tcW w:w="14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w:t>
            </w:r>
          </w:p>
        </w:tc>
      </w:tr>
      <w:tr>
        <w:tblPrEx>
          <w:tblLayout w:type="fixed"/>
          <w:tblCellMar>
            <w:top w:w="0" w:type="dxa"/>
            <w:left w:w="108" w:type="dxa"/>
            <w:bottom w:w="0" w:type="dxa"/>
            <w:right w:w="108" w:type="dxa"/>
          </w:tblCellMar>
        </w:tblPrEx>
        <w:trPr>
          <w:trHeight w:val="780" w:hRule="atLeast"/>
        </w:trPr>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肉与肉制品</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生禽肉</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2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14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1005" w:hRule="atLeast"/>
        </w:trPr>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水产及其制品</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螺（活、鲜、冰鲜等）</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2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3（副溶血性弧菌）</w:t>
            </w:r>
          </w:p>
        </w:tc>
        <w:tc>
          <w:tcPr>
            <w:tcW w:w="14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18.75</w:t>
            </w:r>
          </w:p>
        </w:tc>
      </w:tr>
      <w:tr>
        <w:tblPrEx>
          <w:tblLayout w:type="fixed"/>
          <w:tblCellMar>
            <w:top w:w="0" w:type="dxa"/>
            <w:left w:w="108" w:type="dxa"/>
            <w:bottom w:w="0" w:type="dxa"/>
            <w:right w:w="108" w:type="dxa"/>
          </w:tblCellMar>
        </w:tblPrEx>
        <w:trPr>
          <w:trHeight w:val="285" w:hRule="atLeast"/>
        </w:trPr>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蛋与蛋制品</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鲜蛋（不包括鸡蛋）</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2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1（沙门氏菌）蛋壳</w:t>
            </w:r>
          </w:p>
        </w:tc>
        <w:tc>
          <w:tcPr>
            <w:tcW w:w="14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6.25</w:t>
            </w:r>
          </w:p>
        </w:tc>
      </w:tr>
      <w:tr>
        <w:tblPrEx>
          <w:tblLayout w:type="fixed"/>
          <w:tblCellMar>
            <w:top w:w="0" w:type="dxa"/>
            <w:left w:w="108" w:type="dxa"/>
            <w:bottom w:w="0" w:type="dxa"/>
            <w:right w:w="108" w:type="dxa"/>
          </w:tblCellMar>
        </w:tblPrEx>
        <w:trPr>
          <w:trHeight w:val="555" w:hRule="atLeast"/>
        </w:trPr>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焙烤及油炸类</w:t>
            </w:r>
          </w:p>
        </w:tc>
        <w:tc>
          <w:tcPr>
            <w:tcW w:w="21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中式糕点</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2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2（沙门氏菌）</w:t>
            </w:r>
          </w:p>
        </w:tc>
        <w:tc>
          <w:tcPr>
            <w:tcW w:w="14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w:t>
            </w:r>
          </w:p>
        </w:tc>
      </w:tr>
      <w:tr>
        <w:tblPrEx>
          <w:tblLayout w:type="fixed"/>
          <w:tblCellMar>
            <w:top w:w="0" w:type="dxa"/>
            <w:left w:w="108" w:type="dxa"/>
            <w:bottom w:w="0" w:type="dxa"/>
            <w:right w:w="108" w:type="dxa"/>
          </w:tblCellMar>
        </w:tblPrEx>
        <w:trPr>
          <w:trHeight w:val="540" w:hRule="atLeast"/>
        </w:trPr>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冷冻饮品</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冰淇淋、雪糕、冰棍等</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2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14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0.00 </w:t>
            </w:r>
          </w:p>
        </w:tc>
      </w:tr>
      <w:tr>
        <w:tblPrEx>
          <w:tblLayout w:type="fixed"/>
          <w:tblCellMar>
            <w:top w:w="0" w:type="dxa"/>
            <w:left w:w="108" w:type="dxa"/>
            <w:bottom w:w="0" w:type="dxa"/>
            <w:right w:w="108" w:type="dxa"/>
          </w:tblCellMar>
        </w:tblPrEx>
        <w:trPr>
          <w:trHeight w:val="645" w:hRule="atLeast"/>
        </w:trPr>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坚果与籽类及其加工制品类</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坚果/籽类的酱</w:t>
            </w: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2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14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0.00 </w:t>
            </w:r>
          </w:p>
        </w:tc>
      </w:tr>
      <w:tr>
        <w:tblPrEx>
          <w:tblLayout w:type="fixed"/>
          <w:tblCellMar>
            <w:top w:w="0" w:type="dxa"/>
            <w:left w:w="108" w:type="dxa"/>
            <w:bottom w:w="0" w:type="dxa"/>
            <w:right w:w="108" w:type="dxa"/>
          </w:tblCellMar>
        </w:tblPrEx>
        <w:trPr>
          <w:trHeight w:val="285" w:hRule="atLeast"/>
        </w:trPr>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调味品</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酱及酱制品</w:t>
            </w: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0.00 </w:t>
            </w:r>
          </w:p>
        </w:tc>
      </w:tr>
      <w:tr>
        <w:tblPrEx>
          <w:tblLayout w:type="fixed"/>
          <w:tblCellMar>
            <w:top w:w="0" w:type="dxa"/>
            <w:left w:w="108" w:type="dxa"/>
            <w:bottom w:w="0" w:type="dxa"/>
            <w:right w:w="108" w:type="dxa"/>
          </w:tblCellMar>
        </w:tblPrEx>
        <w:trPr>
          <w:trHeight w:val="585" w:hRule="atLeast"/>
        </w:trPr>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餐饮食品</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外卖配送餐</w:t>
            </w: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3（2例蜡样芽胞杆、1例致泻大肠埃希氏菌、）</w:t>
            </w: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15.79</w:t>
            </w:r>
          </w:p>
        </w:tc>
      </w:tr>
      <w:tr>
        <w:tblPrEx>
          <w:tblLayout w:type="fixed"/>
          <w:tblCellMar>
            <w:top w:w="0" w:type="dxa"/>
            <w:left w:w="108" w:type="dxa"/>
            <w:bottom w:w="0" w:type="dxa"/>
            <w:right w:w="108" w:type="dxa"/>
          </w:tblCellMar>
        </w:tblPrEx>
        <w:trPr>
          <w:trHeight w:val="285" w:hRule="atLeast"/>
        </w:trPr>
        <w:tc>
          <w:tcPr>
            <w:tcW w:w="14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地方食品</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凉皮</w:t>
            </w: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1（金黄色葡萄球菌）</w:t>
            </w: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5.00 </w:t>
            </w:r>
          </w:p>
        </w:tc>
      </w:tr>
      <w:tr>
        <w:tblPrEx>
          <w:tblLayout w:type="fixed"/>
          <w:tblCellMar>
            <w:top w:w="0" w:type="dxa"/>
            <w:left w:w="108" w:type="dxa"/>
            <w:bottom w:w="0" w:type="dxa"/>
            <w:right w:w="108" w:type="dxa"/>
          </w:tblCellMar>
        </w:tblPrEx>
        <w:trPr>
          <w:trHeight w:val="285" w:hRule="atLeast"/>
        </w:trPr>
        <w:tc>
          <w:tcPr>
            <w:tcW w:w="14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羊杂</w:t>
            </w: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0.00 </w:t>
            </w:r>
          </w:p>
        </w:tc>
      </w:tr>
      <w:tr>
        <w:tblPrEx>
          <w:tblLayout w:type="fixed"/>
          <w:tblCellMar>
            <w:top w:w="0" w:type="dxa"/>
            <w:left w:w="108" w:type="dxa"/>
            <w:bottom w:w="0" w:type="dxa"/>
            <w:right w:w="108" w:type="dxa"/>
          </w:tblCellMar>
        </w:tblPrEx>
        <w:trPr>
          <w:trHeight w:val="285" w:hRule="atLeast"/>
        </w:trPr>
        <w:tc>
          <w:tcPr>
            <w:tcW w:w="14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21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189</w:t>
            </w:r>
          </w:p>
        </w:tc>
        <w:tc>
          <w:tcPr>
            <w:tcW w:w="22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4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6.88</w:t>
            </w:r>
          </w:p>
        </w:tc>
      </w:tr>
    </w:tbl>
    <w:p>
      <w:pPr>
        <w:rPr>
          <w:rFonts w:ascii="仿宋_GB2312" w:eastAsia="仿宋_GB2312"/>
          <w:b/>
          <w:sz w:val="32"/>
          <w:szCs w:val="32"/>
        </w:rPr>
      </w:pPr>
      <w:r>
        <w:rPr>
          <w:rFonts w:hint="eastAsia" w:ascii="仿宋_GB2312" w:eastAsia="仿宋_GB2312"/>
          <w:b/>
          <w:sz w:val="32"/>
          <w:szCs w:val="32"/>
        </w:rPr>
        <w:t>（三）、食源性疾病监测</w:t>
      </w:r>
    </w:p>
    <w:p>
      <w:pPr>
        <w:spacing w:line="540" w:lineRule="exact"/>
        <w:ind w:firstLine="643" w:firstLineChars="200"/>
        <w:rPr>
          <w:rFonts w:ascii="仿宋_GB2312" w:hAnsi="仿宋" w:eastAsia="仿宋_GB2312"/>
          <w:b/>
          <w:color w:val="000000"/>
          <w:sz w:val="32"/>
          <w:szCs w:val="32"/>
        </w:rPr>
      </w:pPr>
      <w:r>
        <w:rPr>
          <w:rFonts w:ascii="仿宋_GB2312" w:hAnsi="仿宋" w:eastAsia="仿宋_GB2312"/>
          <w:b/>
          <w:color w:val="000000"/>
          <w:sz w:val="32"/>
          <w:szCs w:val="32"/>
        </w:rPr>
        <w:t>1.</w:t>
      </w:r>
      <w:r>
        <w:rPr>
          <w:rFonts w:hint="eastAsia" w:ascii="仿宋_GB2312" w:hAnsi="仿宋" w:eastAsia="仿宋_GB2312"/>
          <w:b/>
          <w:color w:val="000000"/>
          <w:sz w:val="32"/>
          <w:szCs w:val="32"/>
        </w:rPr>
        <w:t>食源性疾病病例信息及病原学监测。</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截止2018年10底本年度全市食源性疾病监测单位由之前的19家二级以上医疗机构扩增到92家。均进行了市级培训。5家疾控中心均能对辖区的医疗监测单位食源性病例信息进行及时审核。全市上报食源性疾病监测病例92家，现有21家上报食源性疾病病例，报告覆盖率22.83%。</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利通区36家监测单位，共报告病例数154例，分布在7家单位，报告覆盖率19.4%。其中吴忠市人民医院106例（72例粪便标本）；吴忠市妇幼保健院8例；微创医院7例；新区医院16例；友谊医院4例；东塔卫生院12例；古城中心卫生院1例。其余29家均未进行食源性疾病病例报告。</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盐池县11家监测单位，共报告病例数110例，分布在2家单位，报告覆盖率18.2%。其中盐池县人民医院104例；盐池县中医院6例；今年新增的9家监测单位均未进行食源性疾病病例报告。</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同心县14家监测单位，共报告病例数298例，分布在4家单位，报告覆盖率28.6%。其中同心县人民医院262例；同心县中医院14例；同心县妇幼保健院8例；预旺卫生院14例；其余10家监测单位均未进行食源性疾病病例报告。</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红寺堡13家监测单位，共报告病例数86例，分布在2家单位，报告覆盖率15.4%。其中红寺堡区人民医院74例；红寺堡区妇幼保健院12例；今年新增的9家监测单位均未进行食源性疾病病例报告。</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青铜峡市18家监测单位，共报告病例数145例，分布在6家单位，报告覆盖率33.3%。其中青铜峡市人民医院125例（124例粪便标本）；青铜峡市中医院12例；红十字会医院3例；峡口镇卫生院3例；叶盛镇中心卫生院1例；青铜峡镇卫生院1例。其余12家均未进行食源性疾病病例报告。</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5个县（市、区）青铜峡市的食源性病例报告覆盖率最高，为33.3%。92家食源性疾病监测医疗机构病例数报告最多为同心县人民医院。</w:t>
      </w:r>
    </w:p>
    <w:p>
      <w:pPr>
        <w:spacing w:line="540" w:lineRule="exact"/>
        <w:ind w:firstLine="3360" w:firstLineChars="1400"/>
        <w:rPr>
          <w:rFonts w:ascii="黑体" w:hAnsi="黑体" w:eastAsia="黑体"/>
          <w:sz w:val="24"/>
        </w:rPr>
      </w:pPr>
      <w:r>
        <w:rPr>
          <w:rFonts w:hint="eastAsia" w:ascii="黑体" w:hAnsi="黑体" w:eastAsia="黑体"/>
          <w:sz w:val="24"/>
        </w:rPr>
        <w:t>表4  吴忠市食源性疾病监测情况</w:t>
      </w:r>
    </w:p>
    <w:tbl>
      <w:tblPr>
        <w:tblStyle w:val="5"/>
        <w:tblW w:w="9962" w:type="dxa"/>
        <w:tblInd w:w="0" w:type="dxa"/>
        <w:tblLayout w:type="fixed"/>
        <w:tblCellMar>
          <w:top w:w="0" w:type="dxa"/>
          <w:left w:w="108" w:type="dxa"/>
          <w:bottom w:w="0" w:type="dxa"/>
          <w:right w:w="108" w:type="dxa"/>
        </w:tblCellMar>
      </w:tblPr>
      <w:tblGrid>
        <w:gridCol w:w="1033"/>
        <w:gridCol w:w="2051"/>
        <w:gridCol w:w="2051"/>
        <w:gridCol w:w="1745"/>
        <w:gridCol w:w="1439"/>
        <w:gridCol w:w="1643"/>
      </w:tblGrid>
      <w:tr>
        <w:tblPrEx>
          <w:tblLayout w:type="fixed"/>
          <w:tblCellMar>
            <w:top w:w="0" w:type="dxa"/>
            <w:left w:w="108" w:type="dxa"/>
            <w:bottom w:w="0" w:type="dxa"/>
            <w:right w:w="108" w:type="dxa"/>
          </w:tblCellMar>
        </w:tblPrEx>
        <w:trPr>
          <w:trHeight w:val="270" w:hRule="atLeast"/>
        </w:trPr>
        <w:tc>
          <w:tcPr>
            <w:tcW w:w="1033"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报告地区</w:t>
            </w:r>
          </w:p>
        </w:tc>
        <w:tc>
          <w:tcPr>
            <w:tcW w:w="2051"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应上报单位数（家）</w:t>
            </w:r>
          </w:p>
        </w:tc>
        <w:tc>
          <w:tcPr>
            <w:tcW w:w="2051"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实上报单位数（家）</w:t>
            </w:r>
          </w:p>
        </w:tc>
        <w:tc>
          <w:tcPr>
            <w:tcW w:w="1745"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报告覆盖率（%）</w:t>
            </w:r>
          </w:p>
        </w:tc>
        <w:tc>
          <w:tcPr>
            <w:tcW w:w="1439"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病例数（例）</w:t>
            </w:r>
          </w:p>
        </w:tc>
        <w:tc>
          <w:tcPr>
            <w:tcW w:w="1643"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便标本数（例）</w:t>
            </w:r>
          </w:p>
        </w:tc>
      </w:tr>
      <w:tr>
        <w:tblPrEx>
          <w:tblLayout w:type="fixed"/>
          <w:tblCellMar>
            <w:top w:w="0" w:type="dxa"/>
            <w:left w:w="108" w:type="dxa"/>
            <w:bottom w:w="0" w:type="dxa"/>
            <w:right w:w="108" w:type="dxa"/>
          </w:tblCellMar>
        </w:tblPrEx>
        <w:trPr>
          <w:trHeight w:val="285" w:hRule="atLeast"/>
        </w:trPr>
        <w:tc>
          <w:tcPr>
            <w:tcW w:w="103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利通区</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745"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19.44</w:t>
            </w:r>
          </w:p>
        </w:tc>
        <w:tc>
          <w:tcPr>
            <w:tcW w:w="1439"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154</w:t>
            </w:r>
          </w:p>
        </w:tc>
        <w:tc>
          <w:tcPr>
            <w:tcW w:w="164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r>
      <w:tr>
        <w:tblPrEx>
          <w:tblLayout w:type="fixed"/>
          <w:tblCellMar>
            <w:top w:w="0" w:type="dxa"/>
            <w:left w:w="108" w:type="dxa"/>
            <w:bottom w:w="0" w:type="dxa"/>
            <w:right w:w="108" w:type="dxa"/>
          </w:tblCellMar>
        </w:tblPrEx>
        <w:trPr>
          <w:trHeight w:val="285" w:hRule="atLeast"/>
        </w:trPr>
        <w:tc>
          <w:tcPr>
            <w:tcW w:w="103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青铜峡市</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745"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33.33</w:t>
            </w:r>
          </w:p>
        </w:tc>
        <w:tc>
          <w:tcPr>
            <w:tcW w:w="1439"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145</w:t>
            </w:r>
          </w:p>
        </w:tc>
        <w:tc>
          <w:tcPr>
            <w:tcW w:w="164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w:t>
            </w:r>
          </w:p>
        </w:tc>
      </w:tr>
      <w:tr>
        <w:tblPrEx>
          <w:tblLayout w:type="fixed"/>
          <w:tblCellMar>
            <w:top w:w="0" w:type="dxa"/>
            <w:left w:w="108" w:type="dxa"/>
            <w:bottom w:w="0" w:type="dxa"/>
            <w:right w:w="108" w:type="dxa"/>
          </w:tblCellMar>
        </w:tblPrEx>
        <w:trPr>
          <w:trHeight w:val="570" w:hRule="atLeast"/>
        </w:trPr>
        <w:tc>
          <w:tcPr>
            <w:tcW w:w="103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盐池县</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745"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18.18</w:t>
            </w:r>
          </w:p>
        </w:tc>
        <w:tc>
          <w:tcPr>
            <w:tcW w:w="1439"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w:t>
            </w:r>
          </w:p>
        </w:tc>
        <w:tc>
          <w:tcPr>
            <w:tcW w:w="164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108" w:type="dxa"/>
            <w:bottom w:w="0" w:type="dxa"/>
            <w:right w:w="108" w:type="dxa"/>
          </w:tblCellMar>
        </w:tblPrEx>
        <w:trPr>
          <w:trHeight w:val="570" w:hRule="atLeast"/>
        </w:trPr>
        <w:tc>
          <w:tcPr>
            <w:tcW w:w="103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同心县</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45"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28.57</w:t>
            </w:r>
          </w:p>
        </w:tc>
        <w:tc>
          <w:tcPr>
            <w:tcW w:w="1439"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298</w:t>
            </w:r>
          </w:p>
        </w:tc>
        <w:tc>
          <w:tcPr>
            <w:tcW w:w="164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108" w:type="dxa"/>
            <w:bottom w:w="0" w:type="dxa"/>
            <w:right w:w="108" w:type="dxa"/>
          </w:tblCellMar>
        </w:tblPrEx>
        <w:trPr>
          <w:trHeight w:val="855" w:hRule="atLeast"/>
        </w:trPr>
        <w:tc>
          <w:tcPr>
            <w:tcW w:w="103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红寺堡区</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051"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745"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15.4</w:t>
            </w:r>
          </w:p>
        </w:tc>
        <w:tc>
          <w:tcPr>
            <w:tcW w:w="1439"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1643"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Layout w:type="fixed"/>
          <w:tblCellMar>
            <w:top w:w="0" w:type="dxa"/>
            <w:left w:w="108" w:type="dxa"/>
            <w:bottom w:w="0" w:type="dxa"/>
            <w:right w:w="108" w:type="dxa"/>
          </w:tblCellMar>
        </w:tblPrEx>
        <w:trPr>
          <w:trHeight w:val="285" w:hRule="atLeast"/>
        </w:trPr>
        <w:tc>
          <w:tcPr>
            <w:tcW w:w="1033"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2051"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92</w:t>
            </w:r>
          </w:p>
        </w:tc>
        <w:tc>
          <w:tcPr>
            <w:tcW w:w="2051"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745"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22.82</w:t>
            </w:r>
          </w:p>
        </w:tc>
        <w:tc>
          <w:tcPr>
            <w:tcW w:w="1439"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793</w:t>
            </w:r>
          </w:p>
        </w:tc>
        <w:tc>
          <w:tcPr>
            <w:tcW w:w="1643"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196</w:t>
            </w:r>
          </w:p>
        </w:tc>
      </w:tr>
    </w:tbl>
    <w:p>
      <w:pPr>
        <w:ind w:firstLine="803" w:firstLineChars="250"/>
        <w:rPr>
          <w:rFonts w:ascii="仿宋_GB2312" w:hAnsi="宋体" w:eastAsia="仿宋_GB2312" w:cs="宋体"/>
          <w:b/>
          <w:kern w:val="0"/>
          <w:sz w:val="32"/>
          <w:szCs w:val="32"/>
        </w:rPr>
      </w:pPr>
      <w:r>
        <w:rPr>
          <w:rFonts w:ascii="仿宋_GB2312" w:hAnsi="宋体" w:eastAsia="仿宋_GB2312" w:cs="宋体"/>
          <w:b/>
          <w:kern w:val="0"/>
          <w:sz w:val="32"/>
          <w:szCs w:val="32"/>
        </w:rPr>
        <w:t>2.</w:t>
      </w:r>
      <w:r>
        <w:rPr>
          <w:rFonts w:hint="eastAsia" w:ascii="仿宋_GB2312" w:hAnsi="宋体" w:eastAsia="仿宋_GB2312" w:cs="宋体"/>
          <w:b/>
          <w:kern w:val="0"/>
          <w:sz w:val="32"/>
          <w:szCs w:val="32"/>
        </w:rPr>
        <w:t>食源性疾病事件报告。</w:t>
      </w:r>
    </w:p>
    <w:p>
      <w:pPr>
        <w:ind w:firstLine="800" w:firstLineChars="250"/>
        <w:rPr>
          <w:rFonts w:ascii="仿宋" w:hAnsi="仿宋" w:eastAsia="仿宋"/>
          <w:sz w:val="32"/>
          <w:szCs w:val="32"/>
        </w:rPr>
      </w:pPr>
      <w:r>
        <w:rPr>
          <w:rFonts w:hint="eastAsia" w:ascii="仿宋_GB2312" w:hAnsi="仿宋" w:eastAsia="仿宋_GB2312"/>
          <w:sz w:val="32"/>
          <w:szCs w:val="32"/>
        </w:rPr>
        <w:t>2018年吴忠市共发生食源性疾病事件15起，其中利通区4例，盐池5例，青铜峡2例，红寺堡1例，同心3例，</w:t>
      </w:r>
      <w:r>
        <w:rPr>
          <w:rFonts w:hint="eastAsia" w:ascii="仿宋" w:hAnsi="仿宋" w:eastAsia="仿宋"/>
          <w:sz w:val="32"/>
          <w:szCs w:val="32"/>
        </w:rPr>
        <w:t>各县（市、区）疾控中心工作人员均按要求进行了食品安全事故流行病学调查。并及时在食源性疾病事件网上进行了上报。</w:t>
      </w:r>
    </w:p>
    <w:p>
      <w:pPr>
        <w:spacing w:line="540" w:lineRule="exact"/>
        <w:ind w:firstLine="640" w:firstLineChars="200"/>
        <w:outlineLvl w:val="0"/>
        <w:rPr>
          <w:rFonts w:ascii="黑体" w:eastAsia="黑体"/>
          <w:sz w:val="32"/>
          <w:szCs w:val="32"/>
        </w:rPr>
      </w:pPr>
      <w:r>
        <w:rPr>
          <w:rFonts w:hint="eastAsia" w:ascii="黑体" w:eastAsia="黑体"/>
          <w:sz w:val="32"/>
          <w:szCs w:val="32"/>
        </w:rPr>
        <w:t>四、质量控制</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、依据《</w:t>
      </w:r>
      <w:r>
        <w:rPr>
          <w:rFonts w:ascii="仿宋_GB2312" w:eastAsia="仿宋_GB2312"/>
          <w:sz w:val="32"/>
          <w:szCs w:val="32"/>
        </w:rPr>
        <w:t>201</w:t>
      </w:r>
      <w:r>
        <w:rPr>
          <w:rFonts w:hint="eastAsia" w:ascii="仿宋_GB2312" w:eastAsia="仿宋_GB2312"/>
          <w:sz w:val="32"/>
          <w:szCs w:val="32"/>
        </w:rPr>
        <w:t>8年宁夏食品安全风险监测方案》，结合本地实际情况制定印发了</w:t>
      </w:r>
      <w:r>
        <w:rPr>
          <w:rFonts w:hint="eastAsia" w:ascii="仿宋_GB2312" w:hAnsi="宋体" w:eastAsia="仿宋_GB2312"/>
          <w:sz w:val="32"/>
          <w:szCs w:val="32"/>
        </w:rPr>
        <w:t>《</w:t>
      </w:r>
      <w:r>
        <w:rPr>
          <w:rFonts w:ascii="仿宋_GB2312" w:hAnsi="宋体" w:eastAsia="仿宋_GB2312"/>
          <w:sz w:val="32"/>
          <w:szCs w:val="32"/>
        </w:rPr>
        <w:t>201</w:t>
      </w:r>
      <w:r>
        <w:rPr>
          <w:rFonts w:hint="eastAsia" w:ascii="仿宋_GB2312" w:hAnsi="宋体" w:eastAsia="仿宋_GB2312"/>
          <w:sz w:val="32"/>
          <w:szCs w:val="32"/>
        </w:rPr>
        <w:t>8年吴忠市食品安全风险监测方案》</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严格按照采样技术规范要求，制定采样计划，严格规范采样流程，保证样本具有代表性和均匀性；采集的定型包装的产品必须标签完整、信息充分、具有溯源性；散装样本信息完整，抽样过程严禁交叉污染，对特殊样品采取冷藏运输措施，确保了样本的真实可靠。</w:t>
      </w:r>
    </w:p>
    <w:p>
      <w:pPr>
        <w:spacing w:line="540" w:lineRule="exact"/>
        <w:ind w:firstLine="640" w:firstLineChars="200"/>
        <w:rPr>
          <w:rFonts w:ascii="仿宋_GB2312" w:eastAsia="仿宋_GB2312"/>
          <w:color w:val="000000"/>
          <w:sz w:val="32"/>
          <w:szCs w:val="32"/>
        </w:rPr>
      </w:pPr>
      <w:r>
        <w:rPr>
          <w:rFonts w:ascii="仿宋_GB2312" w:hAnsi="宋体" w:eastAsia="仿宋_GB2312"/>
          <w:bCs/>
          <w:sz w:val="32"/>
          <w:szCs w:val="32"/>
        </w:rPr>
        <w:t>3</w:t>
      </w:r>
      <w:r>
        <w:rPr>
          <w:rFonts w:hint="eastAsia" w:ascii="仿宋_GB2312" w:hAnsi="宋体" w:eastAsia="仿宋_GB2312"/>
          <w:bCs/>
          <w:sz w:val="32"/>
          <w:szCs w:val="32"/>
        </w:rPr>
        <w:t>、专人负责网络直报，按照时间进度及时采样（按照各项目的采样环节要求执行）、检测，将数据直报至“全国食品污染物监测数据汇总系统”、“全国食品微生物检测数据汇总系统平台”、“食源性疾病监测报告系统”，同时对退回的数据及时修改，确保数据的质量和准确性。</w:t>
      </w:r>
    </w:p>
    <w:p>
      <w:pPr>
        <w:spacing w:line="540" w:lineRule="exact"/>
        <w:ind w:firstLine="640" w:firstLineChars="200"/>
        <w:outlineLvl w:val="0"/>
        <w:rPr>
          <w:rFonts w:ascii="黑体" w:eastAsia="黑体"/>
          <w:sz w:val="32"/>
          <w:szCs w:val="32"/>
        </w:rPr>
      </w:pPr>
      <w:r>
        <w:rPr>
          <w:rFonts w:hint="eastAsia" w:ascii="黑体" w:eastAsia="黑体"/>
          <w:sz w:val="32"/>
          <w:szCs w:val="32"/>
        </w:rPr>
        <w:t>五、问题及建议</w:t>
      </w:r>
    </w:p>
    <w:p>
      <w:pPr>
        <w:ind w:firstLine="640" w:firstLineChars="200"/>
        <w:rPr>
          <w:rFonts w:eastAsia="仿宋_GB2312"/>
          <w:sz w:val="32"/>
          <w:szCs w:val="32"/>
        </w:rPr>
      </w:pPr>
      <w:r>
        <w:rPr>
          <w:rFonts w:ascii="仿宋_GB2312" w:eastAsia="仿宋_GB2312"/>
          <w:color w:val="000000"/>
          <w:sz w:val="32"/>
          <w:szCs w:val="32"/>
          <w:shd w:val="clear" w:color="auto" w:fill="FFFFFF"/>
        </w:rPr>
        <w:t>1.</w:t>
      </w:r>
      <w:r>
        <w:rPr>
          <w:rFonts w:hint="eastAsia" w:ascii="仿宋_GB2312" w:eastAsia="仿宋_GB2312"/>
          <w:color w:val="000000"/>
          <w:sz w:val="32"/>
          <w:szCs w:val="32"/>
          <w:shd w:val="clear" w:color="auto" w:fill="FFFFFF"/>
        </w:rPr>
        <w:t>二级及二级以上和新增各医疗机构对食源性疾病监测工作重视程度不够，部分医院无病例报告。建议卫生行政部门加强监管力度，疾控中心加强技术指导，监测医院做好内部培训。</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在特殊膳食食用品（婴幼儿配方食品和婴幼儿谷类辅助食品）中检出2例蜡样芽胞杆菌和1例阪崎肠杆菌，水产及其制品中检出2例副溶血性弧菌，蛋与蛋制品在蛋壳检出1例沙门氏菌、焙烤及油炸类食品中检出2例沙门氏菌、餐饮食品中检出2例蜡样芽胞杆菌，1例致泻大肠埃希氏菌、地方食品（凉皮）检出</w:t>
      </w:r>
      <w:r>
        <w:rPr>
          <w:rFonts w:ascii="仿宋_GB2312" w:eastAsia="仿宋_GB2312"/>
          <w:sz w:val="32"/>
          <w:szCs w:val="32"/>
        </w:rPr>
        <w:t>1</w:t>
      </w:r>
      <w:r>
        <w:rPr>
          <w:rFonts w:hint="eastAsia" w:ascii="仿宋_GB2312" w:eastAsia="仿宋_GB2312"/>
          <w:sz w:val="32"/>
          <w:szCs w:val="32"/>
        </w:rPr>
        <w:t>例金黄色葡萄球菌。建议有关部门进一步加大监管力度。</w:t>
      </w:r>
    </w:p>
    <w:p>
      <w:pPr>
        <w:spacing w:line="540" w:lineRule="exact"/>
        <w:ind w:firstLine="960" w:firstLineChars="300"/>
        <w:rPr>
          <w:rFonts w:ascii="仿宋" w:hAnsi="仿宋" w:eastAsia="仿宋"/>
          <w:sz w:val="32"/>
          <w:szCs w:val="32"/>
        </w:rPr>
      </w:pPr>
      <w:r>
        <w:rPr>
          <w:rFonts w:hint="eastAsia" w:ascii="仿宋" w:hAnsi="仿宋" w:eastAsia="仿宋"/>
          <w:sz w:val="32"/>
          <w:szCs w:val="32"/>
        </w:rPr>
        <w:t>3.对食源性疾病监测医疗单位，建议个别无消化内科、儿科的医疗机构（如骨科诊所、只承担公共卫生服务的社区卫生站）向当地卫生行政部门提出书面申请，不在承担食源性疾病监测任务。</w:t>
      </w:r>
    </w:p>
    <w:p>
      <w:pPr>
        <w:rPr>
          <w:rFonts w:ascii="仿宋" w:hAnsi="仿宋" w:eastAsia="仿宋"/>
        </w:rPr>
      </w:pPr>
    </w:p>
    <w:p>
      <w:pPr>
        <w:rPr>
          <w:rFonts w:ascii="仿宋" w:hAnsi="仿宋" w:eastAsia="仿宋"/>
        </w:rPr>
      </w:pPr>
    </w:p>
    <w:p>
      <w:pPr>
        <w:rPr>
          <w:rFonts w:ascii="仿宋" w:hAnsi="仿宋" w:eastAsia="仿宋"/>
        </w:rPr>
      </w:pPr>
    </w:p>
    <w:p/>
    <w:p/>
    <w:p/>
    <w:p/>
    <w:p/>
    <w:p/>
    <w:p/>
    <w:p/>
    <w:p/>
    <w:p/>
    <w:p/>
    <w:p/>
    <w:p/>
    <w:p/>
    <w:p/>
    <w:p/>
    <w:p/>
    <w:p/>
    <w:p/>
    <w:p/>
    <w:p/>
    <w:p/>
    <w:p/>
    <w:p/>
    <w:p/>
    <w:p/>
    <w:p/>
    <w:p/>
    <w:p/>
    <w:p/>
    <w:p/>
    <w:p/>
    <w:p/>
    <w:p/>
    <w:p/>
    <w:p/>
    <w:p/>
    <w:p/>
    <w:p/>
    <w:p/>
    <w:p/>
    <w:p/>
    <w:p/>
    <w:p/>
    <w:p/>
    <w:p/>
    <w:p/>
    <w:p/>
    <w:p/>
    <w:p/>
    <w:p>
      <w:pPr>
        <w:spacing w:line="560" w:lineRule="exact"/>
        <w:rPr>
          <w:rFonts w:ascii="仿宋" w:hAnsi="仿宋" w:eastAsia="仿宋"/>
          <w:sz w:val="32"/>
          <w:szCs w:val="32"/>
          <w:u w:val="thick"/>
        </w:rPr>
      </w:pPr>
      <w:r>
        <w:rPr>
          <w:rFonts w:hint="eastAsia" w:ascii="仿宋" w:hAnsi="仿宋" w:eastAsia="仿宋"/>
          <w:sz w:val="32"/>
          <w:szCs w:val="32"/>
          <w:u w:val="thick"/>
        </w:rPr>
        <w:t xml:space="preserve">                                                             </w:t>
      </w:r>
    </w:p>
    <w:p>
      <w:pPr>
        <w:spacing w:line="360" w:lineRule="exact"/>
        <w:rPr>
          <w:rFonts w:ascii="仿宋" w:hAnsi="仿宋" w:eastAsia="仿宋"/>
          <w:sz w:val="28"/>
          <w:szCs w:val="28"/>
          <w:u w:val="single"/>
        </w:rPr>
      </w:pPr>
      <w:r>
        <w:rPr>
          <w:rFonts w:hint="eastAsia" w:ascii="仿宋" w:hAnsi="仿宋" w:eastAsia="仿宋"/>
          <w:sz w:val="32"/>
          <w:szCs w:val="32"/>
          <w:u w:val="single"/>
        </w:rPr>
        <w:t xml:space="preserve"> </w:t>
      </w:r>
      <w:r>
        <w:rPr>
          <w:rFonts w:hint="eastAsia" w:ascii="仿宋" w:hAnsi="仿宋" w:eastAsia="仿宋"/>
          <w:sz w:val="28"/>
          <w:szCs w:val="28"/>
          <w:u w:val="single"/>
        </w:rPr>
        <w:t xml:space="preserve">抄送：自治区疾控中心，利通区卫计局，县（市、区）疾控中心                                 </w:t>
      </w:r>
    </w:p>
    <w:p>
      <w:pPr>
        <w:spacing w:line="360" w:lineRule="exact"/>
      </w:pPr>
      <w:r>
        <w:rPr>
          <w:rFonts w:hint="eastAsia" w:ascii="仿宋" w:hAnsi="仿宋" w:eastAsia="仿宋"/>
          <w:sz w:val="32"/>
          <w:szCs w:val="32"/>
        </w:rPr>
        <w:t xml:space="preserve">吴忠市疾病预防控制中心          2018年11月09日印发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220E6"/>
    <w:rsid w:val="00035663"/>
    <w:rsid w:val="000573EB"/>
    <w:rsid w:val="000616CE"/>
    <w:rsid w:val="00090696"/>
    <w:rsid w:val="000C52AE"/>
    <w:rsid w:val="000C63D8"/>
    <w:rsid w:val="000D07A9"/>
    <w:rsid w:val="000D2122"/>
    <w:rsid w:val="000E7F7B"/>
    <w:rsid w:val="00123B28"/>
    <w:rsid w:val="001416C4"/>
    <w:rsid w:val="00144EE4"/>
    <w:rsid w:val="00155408"/>
    <w:rsid w:val="001655D4"/>
    <w:rsid w:val="002220E6"/>
    <w:rsid w:val="00236DF6"/>
    <w:rsid w:val="002B7B54"/>
    <w:rsid w:val="002C2D6F"/>
    <w:rsid w:val="002C7960"/>
    <w:rsid w:val="002E7D96"/>
    <w:rsid w:val="00310AFD"/>
    <w:rsid w:val="00321F4A"/>
    <w:rsid w:val="00337D50"/>
    <w:rsid w:val="003B4AB9"/>
    <w:rsid w:val="003C30EB"/>
    <w:rsid w:val="003F4268"/>
    <w:rsid w:val="0041186F"/>
    <w:rsid w:val="0041358D"/>
    <w:rsid w:val="00434B46"/>
    <w:rsid w:val="00464107"/>
    <w:rsid w:val="004B2653"/>
    <w:rsid w:val="004C3961"/>
    <w:rsid w:val="004D41B3"/>
    <w:rsid w:val="004E13DB"/>
    <w:rsid w:val="004E6964"/>
    <w:rsid w:val="004F5EE3"/>
    <w:rsid w:val="00512DF3"/>
    <w:rsid w:val="00535389"/>
    <w:rsid w:val="0053708D"/>
    <w:rsid w:val="00546E53"/>
    <w:rsid w:val="00552ABF"/>
    <w:rsid w:val="005857AF"/>
    <w:rsid w:val="005D7975"/>
    <w:rsid w:val="005E50ED"/>
    <w:rsid w:val="00607A52"/>
    <w:rsid w:val="006270B9"/>
    <w:rsid w:val="006359A7"/>
    <w:rsid w:val="00666ADF"/>
    <w:rsid w:val="00681594"/>
    <w:rsid w:val="00685BAD"/>
    <w:rsid w:val="006B71AE"/>
    <w:rsid w:val="006D7CF2"/>
    <w:rsid w:val="00701D05"/>
    <w:rsid w:val="00711461"/>
    <w:rsid w:val="007627B4"/>
    <w:rsid w:val="00775E86"/>
    <w:rsid w:val="007920D9"/>
    <w:rsid w:val="00825946"/>
    <w:rsid w:val="008668F6"/>
    <w:rsid w:val="00882D21"/>
    <w:rsid w:val="00885E1E"/>
    <w:rsid w:val="00903D58"/>
    <w:rsid w:val="00912D9E"/>
    <w:rsid w:val="00A1728A"/>
    <w:rsid w:val="00A317B4"/>
    <w:rsid w:val="00A544D5"/>
    <w:rsid w:val="00A710D1"/>
    <w:rsid w:val="00A87BEA"/>
    <w:rsid w:val="00AF3EBB"/>
    <w:rsid w:val="00B64AD0"/>
    <w:rsid w:val="00BA1DB6"/>
    <w:rsid w:val="00BB1335"/>
    <w:rsid w:val="00BC6499"/>
    <w:rsid w:val="00BE0CBB"/>
    <w:rsid w:val="00BF2467"/>
    <w:rsid w:val="00BF4049"/>
    <w:rsid w:val="00C02ABA"/>
    <w:rsid w:val="00C1563F"/>
    <w:rsid w:val="00C27A43"/>
    <w:rsid w:val="00C31A78"/>
    <w:rsid w:val="00C74598"/>
    <w:rsid w:val="00CC68D7"/>
    <w:rsid w:val="00D2727A"/>
    <w:rsid w:val="00D325B2"/>
    <w:rsid w:val="00D963AC"/>
    <w:rsid w:val="00DF1E04"/>
    <w:rsid w:val="00DF4155"/>
    <w:rsid w:val="00E03AB1"/>
    <w:rsid w:val="00E25000"/>
    <w:rsid w:val="00E25F5C"/>
    <w:rsid w:val="00E366F9"/>
    <w:rsid w:val="00E53831"/>
    <w:rsid w:val="00EA030D"/>
    <w:rsid w:val="00EB3417"/>
    <w:rsid w:val="00EE19E0"/>
    <w:rsid w:val="00EE6112"/>
    <w:rsid w:val="00EF15DA"/>
    <w:rsid w:val="00F242D6"/>
    <w:rsid w:val="00F36475"/>
    <w:rsid w:val="00F36669"/>
    <w:rsid w:val="00F75D83"/>
    <w:rsid w:val="00FD3547"/>
    <w:rsid w:val="00FE1673"/>
    <w:rsid w:val="03217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rFonts w:ascii="Times New Roman" w:hAnsi="Times New Roman" w:eastAsia="宋体" w:cs="Times New Roman"/>
      <w:sz w:val="18"/>
      <w:szCs w:val="18"/>
    </w:rPr>
  </w:style>
  <w:style w:type="character" w:customStyle="1" w:styleId="8">
    <w:name w:val="页脚 Char"/>
    <w:basedOn w:val="4"/>
    <w:link w:val="2"/>
    <w:semiHidden/>
    <w:uiPriority w:val="99"/>
    <w:rPr>
      <w:rFonts w:ascii="Times New Roman" w:hAnsi="Times New Roman" w:eastAsia="宋体" w:cs="Times New Roman"/>
      <w:sz w:val="18"/>
      <w:szCs w:val="18"/>
    </w:rPr>
  </w:style>
  <w:style w:type="table" w:customStyle="1" w:styleId="9">
    <w:name w:val="浅色底纹1"/>
    <w:basedOn w:val="5"/>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2633B-3FF2-4338-9C19-05C0B21CCE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626</Words>
  <Characters>3574</Characters>
  <Lines>29</Lines>
  <Paragraphs>8</Paragraphs>
  <TotalTime>0</TotalTime>
  <ScaleCrop>false</ScaleCrop>
  <LinksUpToDate>false</LinksUpToDate>
  <CharactersWithSpaces>4192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2018-11-28T01:20:00Z</dcterms:created>
  <dc:creator>user</dc:creator>
  <cp:lastModifiedBy>Administrator</cp:lastModifiedBy>
  <dcterms:modified xsi:type="dcterms:W3CDTF">2018-12-24T07:44:07Z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